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14:paraId="1795A61E" w14:textId="77777777" w:rsidR="00D40DCF" w:rsidRDefault="00BC1C8B">
      <w:pPr>
        <w:pStyle w:val="Title"/>
      </w:pPr>
      <w:bookmarkStart w:id="0" w:name="_GoBack"/>
      <w:proofErr w:type="spellStart"/>
      <w:r>
        <w:t>Autoignition</w:t>
      </w:r>
      <w:proofErr w:type="spellEnd"/>
      <w:r>
        <w:t xml:space="preserve"> of </w:t>
      </w:r>
      <w:r w:rsidR="00727645">
        <w:t>H</w:t>
      </w:r>
      <w:r>
        <w:t>ydrogen/</w:t>
      </w:r>
      <w:r w:rsidR="00727645">
        <w:t>N</w:t>
      </w:r>
      <w:r>
        <w:t xml:space="preserve">atural </w:t>
      </w:r>
      <w:r w:rsidR="00727645">
        <w:t>G</w:t>
      </w:r>
      <w:r>
        <w:t>as/</w:t>
      </w:r>
      <w:r w:rsidR="00727645">
        <w:t>N</w:t>
      </w:r>
      <w:r>
        <w:t xml:space="preserve">itrogen </w:t>
      </w:r>
      <w:r w:rsidR="00727645">
        <w:t>M</w:t>
      </w:r>
      <w:r>
        <w:t xml:space="preserve">ixtures at </w:t>
      </w:r>
      <w:r w:rsidR="00727645">
        <w:t>R</w:t>
      </w:r>
      <w:r>
        <w:t xml:space="preserve">eheat </w:t>
      </w:r>
      <w:r w:rsidR="00727645">
        <w:t>C</w:t>
      </w:r>
      <w:r>
        <w:t xml:space="preserve">ombustor </w:t>
      </w:r>
      <w:r w:rsidR="00727645">
        <w:t>O</w:t>
      </w:r>
      <w:r>
        <w:t xml:space="preserve">perating </w:t>
      </w:r>
      <w:r w:rsidR="00727645">
        <w:t>C</w:t>
      </w:r>
      <w:r>
        <w:t>onditions</w:t>
      </w:r>
    </w:p>
    <w:bookmarkEnd w:id="0"/>
    <w:p w14:paraId="63128EAF" w14:textId="77777777" w:rsidR="00D40DCF" w:rsidRDefault="00D40DCF">
      <w:pPr>
        <w:pStyle w:val="Affiliations"/>
      </w:pPr>
    </w:p>
    <w:p w14:paraId="59F8BBD8" w14:textId="77777777" w:rsidR="00D40DCF" w:rsidRDefault="00D40DCF">
      <w:pPr>
        <w:pStyle w:val="Authors"/>
        <w:rPr>
          <w:vertAlign w:val="superscript"/>
        </w:rPr>
      </w:pPr>
      <w:r>
        <w:t>Sam McGee</w:t>
      </w:r>
      <w:r>
        <w:rPr>
          <w:vertAlign w:val="superscript"/>
        </w:rPr>
        <w:t>*</w:t>
      </w:r>
    </w:p>
    <w:p w14:paraId="364B395E" w14:textId="77777777" w:rsidR="00D40DCF" w:rsidRDefault="00D40DCF">
      <w:pPr>
        <w:pStyle w:val="Affiliations"/>
      </w:pPr>
      <w:r>
        <w:rPr>
          <w:vertAlign w:val="superscript"/>
        </w:rPr>
        <w:t xml:space="preserve"> </w:t>
      </w:r>
      <w:r>
        <w:t>Department of Mechanical Engineering and Metaphysics, University of the Yukon</w:t>
      </w:r>
    </w:p>
    <w:p w14:paraId="7EE49433" w14:textId="77777777" w:rsidR="00D40DCF" w:rsidRDefault="00D40DCF">
      <w:pPr>
        <w:pStyle w:val="Affiliations"/>
      </w:pPr>
      <w:r>
        <w:t xml:space="preserve">-52 Lake </w:t>
      </w:r>
      <w:proofErr w:type="spellStart"/>
      <w:r>
        <w:t>Lebarge</w:t>
      </w:r>
      <w:proofErr w:type="spellEnd"/>
      <w:r>
        <w:t>, YT, H0H 0H0, Canada</w:t>
      </w:r>
    </w:p>
    <w:p w14:paraId="22166C8E" w14:textId="77777777" w:rsidR="00D40DCF" w:rsidRDefault="00D40DCF">
      <w:pPr>
        <w:pStyle w:val="Authors"/>
        <w:rPr>
          <w:rFonts w:ascii="NimbusRomNo9L-Regu" w:eastAsia="NimbusRomNo9L-Regu" w:hAnsi="NimbusRomNo9L-Regu" w:cs="NimbusRomNo9L-Regu"/>
          <w:sz w:val="18"/>
          <w:szCs w:val="18"/>
          <w:vertAlign w:val="superscript"/>
        </w:rPr>
      </w:pPr>
      <w:r>
        <w:t>Alice E. May</w:t>
      </w:r>
      <w:r>
        <w:rPr>
          <w:rFonts w:ascii="NimbusRomNo9L-Regu" w:eastAsia="NimbusRomNo9L-Regu" w:hAnsi="NimbusRomNo9L-Regu" w:cs="NimbusRomNo9L-Regu"/>
          <w:sz w:val="18"/>
          <w:szCs w:val="18"/>
          <w:vertAlign w:val="superscript"/>
        </w:rPr>
        <w:t>†</w:t>
      </w:r>
    </w:p>
    <w:p w14:paraId="514F3929" w14:textId="77777777" w:rsidR="00D40DCF" w:rsidRDefault="00D40DCF">
      <w:pPr>
        <w:pStyle w:val="Affiliations"/>
      </w:pPr>
      <w:r>
        <w:t>Combustion Physics &amp; Naval Architecture Lab., Tennessee Institute of Technology</w:t>
      </w:r>
    </w:p>
    <w:p w14:paraId="6750AEDC" w14:textId="77777777" w:rsidR="00D40DCF" w:rsidRDefault="00D40DCF">
      <w:pPr>
        <w:pStyle w:val="Affiliations"/>
      </w:pPr>
      <w:r>
        <w:t>12 Maple Street, Oak Ridge, TN, 012345, USA</w:t>
      </w:r>
    </w:p>
    <w:p w14:paraId="1D512D61" w14:textId="77777777" w:rsidR="00D40DCF" w:rsidRDefault="00D40DCF">
      <w:pPr>
        <w:pStyle w:val="Affiliations"/>
      </w:pPr>
    </w:p>
    <w:p w14:paraId="4E469497" w14:textId="77777777" w:rsidR="00D40DCF" w:rsidRDefault="00D40DCF">
      <w:pPr>
        <w:pStyle w:val="Affiliations"/>
        <w:rPr>
          <w:b/>
          <w:bCs/>
          <w:i w:val="0"/>
        </w:rPr>
      </w:pPr>
      <w:r>
        <w:rPr>
          <w:b/>
          <w:bCs/>
          <w:i w:val="0"/>
        </w:rPr>
        <w:t>Abstract</w:t>
      </w:r>
    </w:p>
    <w:p w14:paraId="04BF4119" w14:textId="77777777" w:rsidR="00D40DCF" w:rsidRDefault="00BC1C8B" w:rsidP="00BC1C8B">
      <w:pPr>
        <w:pStyle w:val="Affiliations"/>
        <w:ind w:left="822" w:right="822"/>
        <w:jc w:val="both"/>
        <w:rPr>
          <w:rFonts w:eastAsia="NimbusRomNo9L-Regu" w:cs="NimbusRomNo9L-Regu"/>
          <w:i w:val="0"/>
          <w:sz w:val="18"/>
          <w:szCs w:val="18"/>
        </w:rPr>
      </w:pPr>
      <w:r>
        <w:rPr>
          <w:rFonts w:eastAsia="NimbusRomNo9L-Regu" w:cs="NimbusRomNo9L-Regu"/>
          <w:i w:val="0"/>
          <w:sz w:val="18"/>
          <w:szCs w:val="18"/>
        </w:rPr>
        <w:t xml:space="preserve">This </w:t>
      </w:r>
      <w:r w:rsidRPr="00BC1C8B">
        <w:rPr>
          <w:rFonts w:eastAsia="NimbusRomNo9L-Regu" w:cs="NimbusRomNo9L-Regu"/>
          <w:i w:val="0"/>
          <w:sz w:val="18"/>
          <w:szCs w:val="18"/>
        </w:rPr>
        <w:t xml:space="preserve">study </w:t>
      </w:r>
      <w:r>
        <w:rPr>
          <w:rFonts w:eastAsia="NimbusRomNo9L-Regu" w:cs="NimbusRomNo9L-Regu"/>
          <w:i w:val="0"/>
          <w:sz w:val="18"/>
          <w:szCs w:val="18"/>
        </w:rPr>
        <w:t>investigates</w:t>
      </w:r>
      <w:r w:rsidRPr="00BC1C8B">
        <w:rPr>
          <w:rFonts w:eastAsia="NimbusRomNo9L-Regu" w:cs="NimbusRomNo9L-Regu"/>
          <w:i w:val="0"/>
          <w:sz w:val="18"/>
          <w:szCs w:val="18"/>
        </w:rPr>
        <w:t xml:space="preserve"> the influence of </w:t>
      </w:r>
      <w:r>
        <w:rPr>
          <w:rFonts w:eastAsia="NimbusRomNo9L-Regu" w:cs="NimbusRomNo9L-Regu"/>
          <w:i w:val="0"/>
          <w:sz w:val="18"/>
          <w:szCs w:val="18"/>
        </w:rPr>
        <w:t>fuel jet composition</w:t>
      </w:r>
      <w:r w:rsidRPr="00BC1C8B">
        <w:rPr>
          <w:rFonts w:eastAsia="NimbusRomNo9L-Regu" w:cs="NimbusRomNo9L-Regu"/>
          <w:i w:val="0"/>
          <w:sz w:val="18"/>
          <w:szCs w:val="18"/>
        </w:rPr>
        <w:t xml:space="preserve"> on </w:t>
      </w:r>
      <w:proofErr w:type="spellStart"/>
      <w:r w:rsidRPr="00BC1C8B">
        <w:rPr>
          <w:rFonts w:eastAsia="NimbusRomNo9L-Regu" w:cs="NimbusRomNo9L-Regu"/>
          <w:i w:val="0"/>
          <w:sz w:val="18"/>
          <w:szCs w:val="18"/>
        </w:rPr>
        <w:t>autoignition</w:t>
      </w:r>
      <w:proofErr w:type="spellEnd"/>
      <w:r w:rsidRPr="00BC1C8B">
        <w:rPr>
          <w:rFonts w:eastAsia="NimbusRomNo9L-Regu" w:cs="NimbusRomNo9L-Regu"/>
          <w:i w:val="0"/>
          <w:sz w:val="18"/>
          <w:szCs w:val="18"/>
        </w:rPr>
        <w:t xml:space="preserve">, </w:t>
      </w:r>
      <w:r>
        <w:rPr>
          <w:rFonts w:eastAsia="NimbusRomNo9L-Regu" w:cs="NimbusRomNo9L-Regu"/>
          <w:i w:val="0"/>
          <w:sz w:val="18"/>
          <w:szCs w:val="18"/>
        </w:rPr>
        <w:t xml:space="preserve">ignition </w:t>
      </w:r>
      <w:r w:rsidRPr="00BC1C8B">
        <w:rPr>
          <w:rFonts w:eastAsia="NimbusRomNo9L-Regu" w:cs="NimbusRomNo9L-Regu"/>
          <w:i w:val="0"/>
          <w:sz w:val="18"/>
          <w:szCs w:val="18"/>
        </w:rPr>
        <w:t xml:space="preserve">kernel propagation, and subsequent flame stabilization at conditions that are relevant for the practical operation of gas turbine reheat combustors (p = 15 bar, </w:t>
      </w:r>
      <w:proofErr w:type="spellStart"/>
      <w:r w:rsidRPr="00BC1C8B">
        <w:rPr>
          <w:rFonts w:eastAsia="NimbusRomNo9L-Regu" w:cs="NimbusRomNo9L-Regu"/>
          <w:i w:val="0"/>
          <w:sz w:val="18"/>
          <w:szCs w:val="18"/>
        </w:rPr>
        <w:t>T</w:t>
      </w:r>
      <w:r w:rsidRPr="00BC1C8B">
        <w:rPr>
          <w:rFonts w:eastAsia="NimbusRomNo9L-Regu" w:cs="NimbusRomNo9L-Regu"/>
          <w:i w:val="0"/>
          <w:sz w:val="18"/>
          <w:szCs w:val="18"/>
          <w:vertAlign w:val="subscript"/>
        </w:rPr>
        <w:t>inlet</w:t>
      </w:r>
      <w:proofErr w:type="spellEnd"/>
      <w:r w:rsidRPr="00BC1C8B">
        <w:rPr>
          <w:rFonts w:eastAsia="NimbusRomNo9L-Regu" w:cs="NimbusRomNo9L-Regu"/>
          <w:i w:val="0"/>
          <w:sz w:val="18"/>
          <w:szCs w:val="18"/>
        </w:rPr>
        <w:t xml:space="preserve"> &gt; 1000 K, hot flue gas, appropriate residence times). The experimental investigation was carried out in a generic, optically accessible reheat combustor. </w:t>
      </w:r>
      <w:proofErr w:type="spellStart"/>
      <w:r w:rsidRPr="00BC1C8B">
        <w:rPr>
          <w:rFonts w:eastAsia="NimbusRomNo9L-Regu" w:cs="NimbusRomNo9L-Regu"/>
          <w:i w:val="0"/>
          <w:sz w:val="18"/>
          <w:szCs w:val="18"/>
        </w:rPr>
        <w:t>Autoignition</w:t>
      </w:r>
      <w:proofErr w:type="spellEnd"/>
      <w:r w:rsidRPr="00BC1C8B">
        <w:rPr>
          <w:rFonts w:eastAsia="NimbusRomNo9L-Regu" w:cs="NimbusRomNo9L-Regu"/>
          <w:i w:val="0"/>
          <w:sz w:val="18"/>
          <w:szCs w:val="18"/>
        </w:rPr>
        <w:t xml:space="preserve"> </w:t>
      </w:r>
      <w:r>
        <w:rPr>
          <w:rFonts w:eastAsia="NimbusRomNo9L-Regu" w:cs="NimbusRomNo9L-Regu"/>
          <w:i w:val="0"/>
          <w:sz w:val="18"/>
          <w:szCs w:val="18"/>
        </w:rPr>
        <w:t xml:space="preserve">of H2/natural gas (NG)/N2 jets in cross flow </w:t>
      </w:r>
      <w:r w:rsidRPr="00BC1C8B">
        <w:rPr>
          <w:rFonts w:eastAsia="NimbusRomNo9L-Regu" w:cs="NimbusRomNo9L-Regu"/>
          <w:i w:val="0"/>
          <w:sz w:val="18"/>
          <w:szCs w:val="18"/>
        </w:rPr>
        <w:t xml:space="preserve">were recorded by a high-speed camera at frame rates of up to 30,000 fps. </w:t>
      </w:r>
      <w:r>
        <w:rPr>
          <w:rFonts w:eastAsia="NimbusRomNo9L-Regu" w:cs="NimbusRomNo9L-Regu"/>
          <w:i w:val="0"/>
          <w:sz w:val="18"/>
          <w:szCs w:val="18"/>
        </w:rPr>
        <w:t>T</w:t>
      </w:r>
      <w:r w:rsidRPr="00BC1C8B">
        <w:rPr>
          <w:rFonts w:eastAsia="NimbusRomNo9L-Regu" w:cs="NimbusRomNo9L-Regu"/>
          <w:i w:val="0"/>
          <w:sz w:val="18"/>
          <w:szCs w:val="18"/>
        </w:rPr>
        <w:t xml:space="preserve">he </w:t>
      </w:r>
      <w:proofErr w:type="spellStart"/>
      <w:r w:rsidRPr="00BC1C8B">
        <w:rPr>
          <w:rFonts w:eastAsia="NimbusRomNo9L-Regu" w:cs="NimbusRomNo9L-Regu"/>
          <w:i w:val="0"/>
          <w:sz w:val="18"/>
          <w:szCs w:val="18"/>
        </w:rPr>
        <w:t>autoignition</w:t>
      </w:r>
      <w:proofErr w:type="spellEnd"/>
      <w:r w:rsidRPr="00BC1C8B">
        <w:rPr>
          <w:rFonts w:eastAsia="NimbusRomNo9L-Regu" w:cs="NimbusRomNo9L-Regu"/>
          <w:i w:val="0"/>
          <w:sz w:val="18"/>
          <w:szCs w:val="18"/>
        </w:rPr>
        <w:t xml:space="preserve"> behaviour </w:t>
      </w:r>
      <w:r>
        <w:rPr>
          <w:rFonts w:eastAsia="NimbusRomNo9L-Regu" w:cs="NimbusRomNo9L-Regu"/>
          <w:i w:val="0"/>
          <w:sz w:val="18"/>
          <w:szCs w:val="18"/>
        </w:rPr>
        <w:t xml:space="preserve">was investigated </w:t>
      </w:r>
      <w:r w:rsidRPr="00BC1C8B">
        <w:rPr>
          <w:rFonts w:eastAsia="NimbusRomNo9L-Regu" w:cs="NimbusRomNo9L-Regu"/>
          <w:i w:val="0"/>
          <w:sz w:val="18"/>
          <w:szCs w:val="18"/>
        </w:rPr>
        <w:t>as the H</w:t>
      </w:r>
      <w:r w:rsidRPr="00BC1C8B">
        <w:rPr>
          <w:rFonts w:eastAsia="NimbusRomNo9L-Regu" w:cs="NimbusRomNo9L-Regu"/>
          <w:i w:val="0"/>
          <w:sz w:val="18"/>
          <w:szCs w:val="18"/>
          <w:vertAlign w:val="subscript"/>
        </w:rPr>
        <w:t>2</w:t>
      </w:r>
      <w:r>
        <w:rPr>
          <w:rFonts w:eastAsia="NimbusRomNo9L-Regu" w:cs="NimbusRomNo9L-Regu"/>
          <w:i w:val="0"/>
          <w:sz w:val="18"/>
          <w:szCs w:val="18"/>
        </w:rPr>
        <w:t xml:space="preserve"> volume fraction was</w:t>
      </w:r>
      <w:r w:rsidRPr="00BC1C8B">
        <w:rPr>
          <w:rFonts w:eastAsia="NimbusRomNo9L-Regu" w:cs="NimbusRomNo9L-Regu"/>
          <w:i w:val="0"/>
          <w:sz w:val="18"/>
          <w:szCs w:val="18"/>
        </w:rPr>
        <w:t xml:space="preserve"> increased (decreasing NG) in </w:t>
      </w:r>
      <w:r>
        <w:rPr>
          <w:rFonts w:eastAsia="NimbusRomNo9L-Regu" w:cs="NimbusRomNo9L-Regu"/>
          <w:i w:val="0"/>
          <w:sz w:val="18"/>
          <w:szCs w:val="18"/>
        </w:rPr>
        <w:t xml:space="preserve">different </w:t>
      </w:r>
      <w:r w:rsidRPr="00BC1C8B">
        <w:rPr>
          <w:rFonts w:eastAsia="NimbusRomNo9L-Regu" w:cs="NimbusRomNo9L-Regu"/>
          <w:i w:val="0"/>
          <w:sz w:val="18"/>
          <w:szCs w:val="18"/>
        </w:rPr>
        <w:t>fuel mixture</w:t>
      </w:r>
      <w:r>
        <w:rPr>
          <w:rFonts w:eastAsia="NimbusRomNo9L-Regu" w:cs="NimbusRomNo9L-Regu"/>
          <w:i w:val="0"/>
          <w:sz w:val="18"/>
          <w:szCs w:val="18"/>
        </w:rPr>
        <w:t>s</w:t>
      </w:r>
      <w:r w:rsidRPr="00BC1C8B">
        <w:rPr>
          <w:rFonts w:eastAsia="NimbusRomNo9L-Regu" w:cs="NimbusRomNo9L-Regu"/>
          <w:i w:val="0"/>
          <w:sz w:val="18"/>
          <w:szCs w:val="18"/>
        </w:rPr>
        <w:t xml:space="preserve"> for two different jet penetration depths. Additionally, the subsequent flame stabilization phenomena and the structure of the stabilized flame are discussed. The results reveal that </w:t>
      </w:r>
      <w:proofErr w:type="spellStart"/>
      <w:r w:rsidRPr="00BC1C8B">
        <w:rPr>
          <w:rFonts w:eastAsia="NimbusRomNo9L-Regu" w:cs="NimbusRomNo9L-Regu"/>
          <w:i w:val="0"/>
          <w:sz w:val="18"/>
          <w:szCs w:val="18"/>
        </w:rPr>
        <w:t>autoignition</w:t>
      </w:r>
      <w:proofErr w:type="spellEnd"/>
      <w:r w:rsidRPr="00BC1C8B">
        <w:rPr>
          <w:rFonts w:eastAsia="NimbusRomNo9L-Regu" w:cs="NimbusRomNo9L-Regu"/>
          <w:i w:val="0"/>
          <w:sz w:val="18"/>
          <w:szCs w:val="18"/>
        </w:rPr>
        <w:t xml:space="preserve"> kernels occurred even for the lowest H</w:t>
      </w:r>
      <w:r w:rsidRPr="00BC1C8B">
        <w:rPr>
          <w:rFonts w:eastAsia="NimbusRomNo9L-Regu" w:cs="NimbusRomNo9L-Regu"/>
          <w:i w:val="0"/>
          <w:sz w:val="18"/>
          <w:szCs w:val="18"/>
          <w:vertAlign w:val="subscript"/>
        </w:rPr>
        <w:t>2</w:t>
      </w:r>
      <w:r w:rsidRPr="00BC1C8B">
        <w:rPr>
          <w:rFonts w:eastAsia="NimbusRomNo9L-Regu" w:cs="NimbusRomNo9L-Regu"/>
          <w:i w:val="0"/>
          <w:sz w:val="18"/>
          <w:szCs w:val="18"/>
        </w:rPr>
        <w:t xml:space="preserve"> fuel fraction, but they did not initiate a stable flame in the mixing zone. Increasing the H</w:t>
      </w:r>
      <w:r w:rsidRPr="00BC1C8B">
        <w:rPr>
          <w:rFonts w:eastAsia="NimbusRomNo9L-Regu" w:cs="NimbusRomNo9L-Regu"/>
          <w:i w:val="0"/>
          <w:sz w:val="18"/>
          <w:szCs w:val="18"/>
          <w:vertAlign w:val="subscript"/>
        </w:rPr>
        <w:t>2</w:t>
      </w:r>
      <w:r w:rsidRPr="00BC1C8B">
        <w:rPr>
          <w:rFonts w:eastAsia="NimbusRomNo9L-Regu" w:cs="NimbusRomNo9L-Regu"/>
          <w:i w:val="0"/>
          <w:sz w:val="18"/>
          <w:szCs w:val="18"/>
        </w:rPr>
        <w:t xml:space="preserve"> volume fraction decreased the distance between the initial position of the </w:t>
      </w:r>
      <w:proofErr w:type="spellStart"/>
      <w:r w:rsidRPr="00BC1C8B">
        <w:rPr>
          <w:rFonts w:eastAsia="NimbusRomNo9L-Regu" w:cs="NimbusRomNo9L-Regu"/>
          <w:i w:val="0"/>
          <w:sz w:val="18"/>
          <w:szCs w:val="18"/>
        </w:rPr>
        <w:t>autoignition</w:t>
      </w:r>
      <w:proofErr w:type="spellEnd"/>
      <w:r w:rsidRPr="00BC1C8B">
        <w:rPr>
          <w:rFonts w:eastAsia="NimbusRomNo9L-Regu" w:cs="NimbusRomNo9L-Regu"/>
          <w:i w:val="0"/>
          <w:sz w:val="18"/>
          <w:szCs w:val="18"/>
        </w:rPr>
        <w:t xml:space="preserve"> kernels and the fuel injector, finally leading to flame stabilization. The occurrence of </w:t>
      </w:r>
      <w:proofErr w:type="spellStart"/>
      <w:r w:rsidRPr="00BC1C8B">
        <w:rPr>
          <w:rFonts w:eastAsia="NimbusRomNo9L-Regu" w:cs="NimbusRomNo9L-Regu"/>
          <w:i w:val="0"/>
          <w:sz w:val="18"/>
          <w:szCs w:val="18"/>
        </w:rPr>
        <w:t>autoignition</w:t>
      </w:r>
      <w:proofErr w:type="spellEnd"/>
      <w:r w:rsidRPr="00BC1C8B">
        <w:rPr>
          <w:rFonts w:eastAsia="NimbusRomNo9L-Regu" w:cs="NimbusRomNo9L-Regu"/>
          <w:i w:val="0"/>
          <w:sz w:val="18"/>
          <w:szCs w:val="18"/>
        </w:rPr>
        <w:t xml:space="preserve"> kernels at lower H</w:t>
      </w:r>
      <w:r w:rsidRPr="00BC1C8B">
        <w:rPr>
          <w:rFonts w:eastAsia="NimbusRomNo9L-Regu" w:cs="NimbusRomNo9L-Regu"/>
          <w:i w:val="0"/>
          <w:sz w:val="18"/>
          <w:szCs w:val="18"/>
          <w:vertAlign w:val="subscript"/>
        </w:rPr>
        <w:t>2</w:t>
      </w:r>
      <w:r w:rsidRPr="00BC1C8B">
        <w:rPr>
          <w:rFonts w:eastAsia="NimbusRomNo9L-Regu" w:cs="NimbusRomNo9L-Regu"/>
          <w:i w:val="0"/>
          <w:sz w:val="18"/>
          <w:szCs w:val="18"/>
        </w:rPr>
        <w:t xml:space="preserve"> volume fractions (H</w:t>
      </w:r>
      <w:r w:rsidRPr="00BC1C8B">
        <w:rPr>
          <w:rFonts w:eastAsia="NimbusRomNo9L-Regu" w:cs="NimbusRomNo9L-Regu"/>
          <w:i w:val="0"/>
          <w:sz w:val="18"/>
          <w:szCs w:val="18"/>
          <w:vertAlign w:val="subscript"/>
        </w:rPr>
        <w:t>2</w:t>
      </w:r>
      <w:r w:rsidRPr="00BC1C8B">
        <w:rPr>
          <w:rFonts w:eastAsia="NimbusRomNo9L-Regu" w:cs="NimbusRomNo9L-Regu"/>
          <w:i w:val="0"/>
          <w:sz w:val="18"/>
          <w:szCs w:val="18"/>
        </w:rPr>
        <w:t>/(H</w:t>
      </w:r>
      <w:r w:rsidRPr="00BC1C8B">
        <w:rPr>
          <w:rFonts w:eastAsia="NimbusRomNo9L-Regu" w:cs="NimbusRomNo9L-Regu"/>
          <w:i w:val="0"/>
          <w:sz w:val="18"/>
          <w:szCs w:val="18"/>
          <w:vertAlign w:val="subscript"/>
        </w:rPr>
        <w:t>2</w:t>
      </w:r>
      <w:r w:rsidRPr="00BC1C8B">
        <w:rPr>
          <w:rFonts w:eastAsia="NimbusRomNo9L-Regu" w:cs="NimbusRomNo9L-Regu"/>
          <w:i w:val="0"/>
          <w:sz w:val="18"/>
          <w:szCs w:val="18"/>
        </w:rPr>
        <w:t xml:space="preserve">+NG) &lt; 85%) was not found to be significantly influenced by the fluid dynamic and mixing field differences related to the different jet penetration depths. In contrast, </w:t>
      </w:r>
      <w:proofErr w:type="spellStart"/>
      <w:r w:rsidRPr="00BC1C8B">
        <w:rPr>
          <w:rFonts w:eastAsia="NimbusRomNo9L-Regu" w:cs="NimbusRomNo9L-Regu"/>
          <w:i w:val="0"/>
          <w:sz w:val="18"/>
          <w:szCs w:val="18"/>
        </w:rPr>
        <w:t>autoignition</w:t>
      </w:r>
      <w:proofErr w:type="spellEnd"/>
      <w:r w:rsidRPr="00BC1C8B">
        <w:rPr>
          <w:rFonts w:eastAsia="NimbusRomNo9L-Regu" w:cs="NimbusRomNo9L-Regu"/>
          <w:i w:val="0"/>
          <w:sz w:val="18"/>
          <w:szCs w:val="18"/>
        </w:rPr>
        <w:t xml:space="preserve"> leading to flame stabilization was found to depend on jet penetration; flame stabilization occurred at lower H2 fractions for the higher jet penetration depth (H</w:t>
      </w:r>
      <w:r w:rsidRPr="00BC1C8B">
        <w:rPr>
          <w:rFonts w:eastAsia="NimbusRomNo9L-Regu" w:cs="NimbusRomNo9L-Regu"/>
          <w:i w:val="0"/>
          <w:sz w:val="18"/>
          <w:szCs w:val="18"/>
          <w:vertAlign w:val="subscript"/>
        </w:rPr>
        <w:t>2</w:t>
      </w:r>
      <w:r w:rsidRPr="00BC1C8B">
        <w:rPr>
          <w:rFonts w:eastAsia="NimbusRomNo9L-Regu" w:cs="NimbusRomNo9L-Regu"/>
          <w:i w:val="0"/>
          <w:sz w:val="18"/>
          <w:szCs w:val="18"/>
        </w:rPr>
        <w:t>/(H</w:t>
      </w:r>
      <w:r w:rsidRPr="00BC1C8B">
        <w:rPr>
          <w:rFonts w:eastAsia="NimbusRomNo9L-Regu" w:cs="NimbusRomNo9L-Regu"/>
          <w:i w:val="0"/>
          <w:sz w:val="18"/>
          <w:szCs w:val="18"/>
          <w:vertAlign w:val="subscript"/>
        </w:rPr>
        <w:t>2</w:t>
      </w:r>
      <w:r w:rsidRPr="00BC1C8B">
        <w:rPr>
          <w:rFonts w:eastAsia="NimbusRomNo9L-Regu" w:cs="NimbusRomNo9L-Regu"/>
          <w:i w:val="0"/>
          <w:sz w:val="18"/>
          <w:szCs w:val="18"/>
        </w:rPr>
        <w:t>+NG) ≈ 89 compared to H</w:t>
      </w:r>
      <w:r w:rsidRPr="00BC1C8B">
        <w:rPr>
          <w:rFonts w:eastAsia="NimbusRomNo9L-Regu" w:cs="NimbusRomNo9L-Regu"/>
          <w:i w:val="0"/>
          <w:sz w:val="18"/>
          <w:szCs w:val="18"/>
          <w:vertAlign w:val="subscript"/>
        </w:rPr>
        <w:t>2</w:t>
      </w:r>
      <w:r w:rsidRPr="00BC1C8B">
        <w:rPr>
          <w:rFonts w:eastAsia="NimbusRomNo9L-Regu" w:cs="NimbusRomNo9L-Regu"/>
          <w:i w:val="0"/>
          <w:sz w:val="18"/>
          <w:szCs w:val="18"/>
        </w:rPr>
        <w:t>/(H</w:t>
      </w:r>
      <w:r w:rsidRPr="00BC1C8B">
        <w:rPr>
          <w:rFonts w:eastAsia="NimbusRomNo9L-Regu" w:cs="NimbusRomNo9L-Regu"/>
          <w:i w:val="0"/>
          <w:sz w:val="18"/>
          <w:szCs w:val="18"/>
          <w:vertAlign w:val="subscript"/>
        </w:rPr>
        <w:t>2</w:t>
      </w:r>
      <w:r w:rsidRPr="00BC1C8B">
        <w:rPr>
          <w:rFonts w:eastAsia="NimbusRomNo9L-Regu" w:cs="NimbusRomNo9L-Regu"/>
          <w:i w:val="0"/>
          <w:sz w:val="18"/>
          <w:szCs w:val="18"/>
        </w:rPr>
        <w:t>+NG) ≈ 95 vol. %).</w:t>
      </w:r>
    </w:p>
    <w:p w14:paraId="38310033" w14:textId="77777777" w:rsidR="00D40DCF" w:rsidRDefault="00D40DCF">
      <w:pPr>
        <w:pStyle w:val="Heading1"/>
      </w:pPr>
      <w:r>
        <w:t>Introduction</w:t>
      </w:r>
    </w:p>
    <w:p w14:paraId="4AE16D22" w14:textId="77777777" w:rsidR="00D40DCF" w:rsidRDefault="00D63294">
      <w:pPr>
        <w:rPr>
          <w:szCs w:val="20"/>
        </w:rPr>
      </w:pPr>
      <w:r>
        <w:rPr>
          <w:szCs w:val="20"/>
        </w:rPr>
        <w:t>The o</w:t>
      </w:r>
      <w:r w:rsidR="00D40DCF">
        <w:rPr>
          <w:szCs w:val="20"/>
        </w:rPr>
        <w:t>verall format is similar to</w:t>
      </w:r>
      <w:r>
        <w:rPr>
          <w:szCs w:val="20"/>
        </w:rPr>
        <w:t xml:space="preserve"> the style of</w:t>
      </w:r>
      <w:r w:rsidR="00D40DCF">
        <w:rPr>
          <w:szCs w:val="20"/>
        </w:rPr>
        <w:t xml:space="preserve"> </w:t>
      </w:r>
      <w:r w:rsidR="0029595F">
        <w:rPr>
          <w:szCs w:val="20"/>
        </w:rPr>
        <w:t>“</w:t>
      </w:r>
      <w:r w:rsidR="0029595F" w:rsidRPr="0029595F">
        <w:rPr>
          <w:szCs w:val="20"/>
        </w:rPr>
        <w:t>Sustainable Energy Technologies and Assessments</w:t>
      </w:r>
      <w:r w:rsidR="0029595F">
        <w:rPr>
          <w:szCs w:val="20"/>
        </w:rPr>
        <w:t>”</w:t>
      </w:r>
      <w:r w:rsidR="00D40DCF">
        <w:rPr>
          <w:szCs w:val="20"/>
        </w:rPr>
        <w:t xml:space="preserve">, except the paper is written as a single column document. </w:t>
      </w:r>
      <w:r w:rsidR="00727645">
        <w:rPr>
          <w:szCs w:val="20"/>
        </w:rPr>
        <w:t xml:space="preserve">The </w:t>
      </w:r>
      <w:proofErr w:type="gramStart"/>
      <w:r w:rsidR="00727645">
        <w:rPr>
          <w:szCs w:val="20"/>
        </w:rPr>
        <w:t>l</w:t>
      </w:r>
      <w:r w:rsidR="00D40DCF">
        <w:rPr>
          <w:szCs w:val="20"/>
        </w:rPr>
        <w:t>ength</w:t>
      </w:r>
      <w:proofErr w:type="gramEnd"/>
      <w:r w:rsidR="00D40DCF">
        <w:rPr>
          <w:szCs w:val="20"/>
        </w:rPr>
        <w:t xml:space="preserve"> of the short paper should be </w:t>
      </w:r>
      <w:proofErr w:type="gramStart"/>
      <w:r w:rsidR="005C1409">
        <w:rPr>
          <w:szCs w:val="20"/>
        </w:rPr>
        <w:t>6</w:t>
      </w:r>
      <w:r w:rsidR="00D40DCF">
        <w:rPr>
          <w:szCs w:val="20"/>
        </w:rPr>
        <w:t>-</w:t>
      </w:r>
      <w:r w:rsidR="005C1409">
        <w:rPr>
          <w:szCs w:val="20"/>
        </w:rPr>
        <w:t>12</w:t>
      </w:r>
      <w:r w:rsidR="00D40DCF">
        <w:rPr>
          <w:szCs w:val="20"/>
        </w:rPr>
        <w:t xml:space="preserve"> pages</w:t>
      </w:r>
      <w:proofErr w:type="gramEnd"/>
      <w:r w:rsidR="00D40DCF">
        <w:rPr>
          <w:szCs w:val="20"/>
        </w:rPr>
        <w:t xml:space="preserve">. If you are using Tex or Latex, format your paper accordingly so that it will resemble this template. Please submit your final paper (after you carefully proofread it) in PDF format. </w:t>
      </w:r>
    </w:p>
    <w:p w14:paraId="45248B91" w14:textId="77777777" w:rsidR="00D40DCF" w:rsidRDefault="00D40DCF">
      <w:pPr>
        <w:rPr>
          <w:szCs w:val="20"/>
        </w:rPr>
      </w:pPr>
    </w:p>
    <w:p w14:paraId="260B07D4" w14:textId="77777777" w:rsidR="00D40DCF" w:rsidRDefault="00D40DCF">
      <w:pPr>
        <w:pStyle w:val="Heading2"/>
      </w:pPr>
      <w:r>
        <w:t xml:space="preserve">Fonts to be </w:t>
      </w:r>
      <w:proofErr w:type="gramStart"/>
      <w:r>
        <w:t>Used</w:t>
      </w:r>
      <w:proofErr w:type="gramEnd"/>
    </w:p>
    <w:p w14:paraId="103814CE" w14:textId="77777777" w:rsidR="00D40DCF" w:rsidRDefault="00D40DCF">
      <w:pPr>
        <w:rPr>
          <w:szCs w:val="20"/>
        </w:rPr>
      </w:pPr>
      <w:r>
        <w:rPr>
          <w:szCs w:val="20"/>
        </w:rPr>
        <w:t xml:space="preserve">Title: Times new roman (or equivalent) 16 points </w:t>
      </w:r>
      <w:r>
        <w:rPr>
          <w:b/>
          <w:szCs w:val="20"/>
        </w:rPr>
        <w:t xml:space="preserve">bold, </w:t>
      </w:r>
      <w:r>
        <w:rPr>
          <w:szCs w:val="20"/>
        </w:rPr>
        <w:t>centered</w:t>
      </w:r>
    </w:p>
    <w:p w14:paraId="5282CC92" w14:textId="77777777" w:rsidR="00D40DCF" w:rsidRDefault="00D40DCF">
      <w:pPr>
        <w:rPr>
          <w:szCs w:val="20"/>
        </w:rPr>
      </w:pPr>
      <w:r>
        <w:rPr>
          <w:szCs w:val="20"/>
        </w:rPr>
        <w:t>Authors: Times new roman (or equivalent) 12 points normal, centered</w:t>
      </w:r>
    </w:p>
    <w:p w14:paraId="7EEEDD8B" w14:textId="77777777" w:rsidR="00D40DCF" w:rsidRDefault="00D40DCF">
      <w:pPr>
        <w:rPr>
          <w:szCs w:val="20"/>
        </w:rPr>
      </w:pPr>
      <w:r>
        <w:rPr>
          <w:szCs w:val="20"/>
        </w:rPr>
        <w:t xml:space="preserve">Affiliations: Times new roman (or equivalent) 10 points </w:t>
      </w:r>
      <w:r>
        <w:rPr>
          <w:i/>
          <w:szCs w:val="20"/>
        </w:rPr>
        <w:t>italic</w:t>
      </w:r>
      <w:r>
        <w:rPr>
          <w:szCs w:val="20"/>
        </w:rPr>
        <w:t>, centered</w:t>
      </w:r>
    </w:p>
    <w:p w14:paraId="2CB61BE7" w14:textId="77777777" w:rsidR="00D40DCF" w:rsidRDefault="00D40DCF">
      <w:pPr>
        <w:rPr>
          <w:szCs w:val="20"/>
        </w:rPr>
      </w:pPr>
      <w:proofErr w:type="spellStart"/>
      <w:r>
        <w:rPr>
          <w:szCs w:val="20"/>
        </w:rPr>
        <w:t>BodyText</w:t>
      </w:r>
      <w:proofErr w:type="spellEnd"/>
      <w:r>
        <w:rPr>
          <w:szCs w:val="20"/>
        </w:rPr>
        <w:t>: Times new roman (or equivalent) 10 points normal, justified</w:t>
      </w:r>
    </w:p>
    <w:p w14:paraId="615930E0" w14:textId="77777777" w:rsidR="00D40DCF" w:rsidRDefault="00D40DCF">
      <w:pPr>
        <w:rPr>
          <w:szCs w:val="20"/>
        </w:rPr>
      </w:pPr>
      <w:r>
        <w:rPr>
          <w:szCs w:val="20"/>
        </w:rPr>
        <w:t xml:space="preserve">Section headings (Heading 1):  Times new roman (or equivalent) 10 points </w:t>
      </w:r>
      <w:r>
        <w:rPr>
          <w:b/>
          <w:szCs w:val="20"/>
        </w:rPr>
        <w:t>bold</w:t>
      </w:r>
      <w:r>
        <w:rPr>
          <w:szCs w:val="20"/>
        </w:rPr>
        <w:t>, left justified, and numbered as shown</w:t>
      </w:r>
    </w:p>
    <w:p w14:paraId="35B4F7EA" w14:textId="77777777" w:rsidR="00D40DCF" w:rsidRDefault="00D40DCF">
      <w:pPr>
        <w:rPr>
          <w:szCs w:val="20"/>
        </w:rPr>
      </w:pPr>
      <w:r>
        <w:rPr>
          <w:szCs w:val="20"/>
        </w:rPr>
        <w:t xml:space="preserve">Sub-headings (Heading 2): Times new roman (or equivalent) 10 points </w:t>
      </w:r>
      <w:r>
        <w:rPr>
          <w:i/>
          <w:szCs w:val="20"/>
        </w:rPr>
        <w:t>italic</w:t>
      </w:r>
      <w:r>
        <w:rPr>
          <w:szCs w:val="20"/>
        </w:rPr>
        <w:t>, left justified, and numbered as shown</w:t>
      </w:r>
    </w:p>
    <w:p w14:paraId="7A978D1E" w14:textId="77777777" w:rsidR="00D40DCF" w:rsidRDefault="00D40DCF">
      <w:pPr>
        <w:rPr>
          <w:szCs w:val="20"/>
        </w:rPr>
      </w:pPr>
      <w:r>
        <w:rPr>
          <w:szCs w:val="20"/>
        </w:rPr>
        <w:t>Bibliographic information, top right of first page in header: Arial (or equivalent) 8 points normal</w:t>
      </w:r>
    </w:p>
    <w:p w14:paraId="230DB22F" w14:textId="77777777" w:rsidR="00D40DCF" w:rsidRDefault="00D40DCF">
      <w:pPr>
        <w:rPr>
          <w:szCs w:val="20"/>
        </w:rPr>
      </w:pPr>
    </w:p>
    <w:p w14:paraId="5F797955" w14:textId="77777777" w:rsidR="00D40DCF" w:rsidRDefault="00D40DCF">
      <w:pPr>
        <w:pStyle w:val="Heading1"/>
      </w:pPr>
      <w:r>
        <w:t>Methodology/Theory (or whatever sub-title your paper requires)</w:t>
      </w:r>
    </w:p>
    <w:p w14:paraId="52309DED" w14:textId="77777777" w:rsidR="00D40DCF" w:rsidRDefault="00D40DCF">
      <w:r>
        <w:rPr>
          <w:u w:val="single"/>
        </w:rPr>
        <w:t>Margins</w:t>
      </w:r>
      <w:r>
        <w:t xml:space="preserve"> should be 1” on all sides.  The header on the first page should start 0.5” from the top of the page.</w:t>
      </w:r>
    </w:p>
    <w:p w14:paraId="2E276417" w14:textId="77777777" w:rsidR="00D40DCF" w:rsidRDefault="00D40DCF">
      <w:r>
        <w:rPr>
          <w:szCs w:val="20"/>
          <w:u w:val="single"/>
        </w:rPr>
        <w:t>Pagination</w:t>
      </w:r>
      <w:r>
        <w:t xml:space="preserve">: </w:t>
      </w:r>
      <w:r w:rsidR="00727645" w:rsidRPr="00D63294">
        <w:rPr>
          <w:szCs w:val="20"/>
        </w:rPr>
        <w:t>P</w:t>
      </w:r>
      <w:r w:rsidRPr="00D63294">
        <w:rPr>
          <w:szCs w:val="20"/>
        </w:rPr>
        <w:t>aginate your paper</w:t>
      </w:r>
      <w:r w:rsidR="00D63294" w:rsidRPr="00D63294">
        <w:rPr>
          <w:szCs w:val="20"/>
        </w:rPr>
        <w:t>, with page numbers at the bottom centre</w:t>
      </w:r>
      <w:r w:rsidRPr="00D63294">
        <w:rPr>
          <w:szCs w:val="20"/>
        </w:rPr>
        <w:t>.</w:t>
      </w:r>
      <w:r>
        <w:rPr>
          <w:b/>
          <w:szCs w:val="20"/>
        </w:rPr>
        <w:t xml:space="preserve"> </w:t>
      </w:r>
      <w:r>
        <w:t xml:space="preserve"> This will </w:t>
      </w:r>
      <w:r w:rsidR="00D63294">
        <w:t>facilitate the review process</w:t>
      </w:r>
      <w:r>
        <w:t>.</w:t>
      </w:r>
    </w:p>
    <w:p w14:paraId="38379BC6" w14:textId="77777777" w:rsidR="00D40DCF" w:rsidRDefault="00D40DCF"/>
    <w:p w14:paraId="485FD777" w14:textId="77777777" w:rsidR="00D40DCF" w:rsidRDefault="00D40DCF">
      <w:pPr>
        <w:pStyle w:val="Heading1"/>
      </w:pPr>
      <w:r>
        <w:t>Results and Discussion (or whatever sub-title your paper requires)</w:t>
      </w:r>
    </w:p>
    <w:p w14:paraId="1FD9D696" w14:textId="77777777" w:rsidR="00D40DCF" w:rsidRDefault="00D40DCF">
      <w:pPr>
        <w:pStyle w:val="Standard"/>
      </w:pPr>
      <w:r>
        <w:t xml:space="preserve">All equations (mathematical and chemical) should be centred.  If an equation is numbered, the number should be flush against the right margin.  Use the Equation Style to simplify formatting: </w:t>
      </w:r>
    </w:p>
    <w:p w14:paraId="0309F09E" w14:textId="77777777" w:rsidR="00D40DCF" w:rsidRDefault="00D40DCF">
      <w:pPr>
        <w:pStyle w:val="Equation"/>
      </w:pPr>
      <w:r>
        <w:lastRenderedPageBreak/>
        <w:tab/>
      </w:r>
      <w:r>
        <w:rPr>
          <w:position w:val="-16"/>
        </w:rPr>
        <w:object w:dxaOrig="1540" w:dyaOrig="680" w14:anchorId="41995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26.95pt" o:ole="" filled="t">
            <v:fill color2="black"/>
            <v:imagedata r:id="rId8" o:title=""/>
            <v:textbox inset="0,0,0,0"/>
          </v:shape>
          <o:OLEObject Type="Embed" ProgID="Equation.3" ShapeID="_x0000_i1025" DrawAspect="Content" ObjectID="_1416509828" r:id="rId9"/>
        </w:object>
      </w:r>
      <w:r>
        <w:tab/>
        <w:t>(1)</w:t>
      </w:r>
    </w:p>
    <w:p w14:paraId="2F6092C0" w14:textId="77777777" w:rsidR="00D40DCF" w:rsidRDefault="00D40DCF">
      <w:pPr>
        <w:pStyle w:val="Equation"/>
      </w:pPr>
      <w:r>
        <w:tab/>
      </w:r>
      <w:r>
        <w:rPr>
          <w:position w:val="-3"/>
        </w:rPr>
        <w:object w:dxaOrig="2400" w:dyaOrig="340" w14:anchorId="31D419E2">
          <v:shape id="_x0000_i1026" type="#_x0000_t75" style="width:97pt;height:13.7pt" o:ole="" filled="t">
            <v:fill color2="black"/>
            <v:imagedata r:id="rId10" o:title=""/>
            <v:textbox inset="0,0,0,0"/>
          </v:shape>
          <o:OLEObject Type="Embed" ProgID="Equation.3" ShapeID="_x0000_i1026" DrawAspect="Content" ObjectID="_1416509829" r:id="rId11"/>
        </w:object>
      </w:r>
      <w:r>
        <w:tab/>
        <w:t>(2)</w:t>
      </w:r>
    </w:p>
    <w:p w14:paraId="26EA8FD1" w14:textId="77777777" w:rsidR="00D40DCF" w:rsidRDefault="00D40DCF" w:rsidP="003E0884">
      <w:pPr>
        <w:pStyle w:val="Standard"/>
      </w:pPr>
      <w:r>
        <w:t>Note that chemical symbols are not italicized whereas variables in the equations and in the text are written in italics.</w:t>
      </w:r>
    </w:p>
    <w:p w14:paraId="0F9C1B06" w14:textId="77777777" w:rsidR="00D40DCF" w:rsidRDefault="00D40DCF">
      <w:pPr>
        <w:pStyle w:val="Heading2"/>
      </w:pPr>
      <w:r>
        <w:t>Illustrations/Graphs</w:t>
      </w:r>
    </w:p>
    <w:p w14:paraId="72C55D57" w14:textId="77777777" w:rsidR="00D40DCF" w:rsidRDefault="00D40DCF">
      <w:pPr>
        <w:rPr>
          <w:szCs w:val="20"/>
        </w:rPr>
      </w:pPr>
      <w:r>
        <w:rPr>
          <w:szCs w:val="20"/>
        </w:rPr>
        <w:t xml:space="preserve">The illustrations/graphs/photographs and their captions should be included within the manuscript at a location closest to the first reference describing them.  The labels, symbols and other information on the illustrations should be no smaller than 8 points.  Illustrations/graphs/photos may be in color or black and white, but all non-illustration text (including captions) must be in black.  Beware that the proceedings will be printed black and white, and </w:t>
      </w:r>
      <w:proofErr w:type="gramStart"/>
      <w:r>
        <w:rPr>
          <w:szCs w:val="20"/>
        </w:rPr>
        <w:t xml:space="preserve">your colour figures will be converted </w:t>
      </w:r>
      <w:r w:rsidR="003E0884">
        <w:rPr>
          <w:szCs w:val="20"/>
        </w:rPr>
        <w:t>by the printer to “gray scale”,</w:t>
      </w:r>
      <w:r w:rsidR="00BA1432">
        <w:rPr>
          <w:szCs w:val="20"/>
        </w:rPr>
        <w:t xml:space="preserve"> for</w:t>
      </w:r>
      <w:r>
        <w:rPr>
          <w:szCs w:val="20"/>
        </w:rPr>
        <w:t xml:space="preserve"> which technical complications may not be avoidable</w:t>
      </w:r>
      <w:proofErr w:type="gramEnd"/>
      <w:r>
        <w:rPr>
          <w:szCs w:val="20"/>
        </w:rPr>
        <w:t xml:space="preserve">.  An example is given as Fig.1. </w:t>
      </w:r>
      <w:r w:rsidR="003E0884">
        <w:rPr>
          <w:szCs w:val="20"/>
        </w:rPr>
        <w:t>Note that</w:t>
      </w:r>
      <w:r>
        <w:rPr>
          <w:szCs w:val="20"/>
        </w:rPr>
        <w:t xml:space="preserve"> the figure caption </w:t>
      </w:r>
      <w:r w:rsidR="003E0884">
        <w:rPr>
          <w:szCs w:val="20"/>
        </w:rPr>
        <w:t xml:space="preserve">is placed </w:t>
      </w:r>
      <w:r>
        <w:rPr>
          <w:szCs w:val="20"/>
        </w:rPr>
        <w:t>underneath the figure.</w:t>
      </w:r>
    </w:p>
    <w:p w14:paraId="189ABA3C" w14:textId="77777777" w:rsidR="00D40DCF" w:rsidRDefault="00D40DCF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788"/>
      </w:tblGrid>
      <w:tr w:rsidR="00D40DCF" w14:paraId="6AFF2E73" w14:textId="77777777">
        <w:tc>
          <w:tcPr>
            <w:tcW w:w="4068" w:type="dxa"/>
            <w:shd w:val="clear" w:color="auto" w:fill="auto"/>
          </w:tcPr>
          <w:p w14:paraId="02E74B5E" w14:textId="77777777" w:rsidR="00D40DCF" w:rsidRDefault="00263D76">
            <w:pPr>
              <w:snapToGrid w:val="0"/>
              <w:rPr>
                <w:szCs w:val="20"/>
              </w:rPr>
            </w:pPr>
            <w:r>
              <w:pict w14:anchorId="30F1C18D">
                <v:shape id="_x0000_s1026" type="#_x0000_t75" style="position:absolute;left:0;text-align:left;margin-left:0;margin-top:3.6pt;width:239.05pt;height:216.45pt;z-index:251657728;mso-wrap-distance-left:9.05pt;mso-wrap-distance-right:9.05pt;mso-position-vertical-relative:margin" filled="t">
                  <v:fill color2="black"/>
                  <v:imagedata r:id="rId12" o:title=""/>
                  <v:textbox inset="0,0,0,0"/>
                  <w10:wrap type="topAndBottom" anchory="margin"/>
                </v:shape>
              </w:pict>
            </w:r>
          </w:p>
        </w:tc>
        <w:tc>
          <w:tcPr>
            <w:tcW w:w="4788" w:type="dxa"/>
            <w:shd w:val="clear" w:color="auto" w:fill="auto"/>
          </w:tcPr>
          <w:p w14:paraId="7E431821" w14:textId="77777777" w:rsidR="00D40DCF" w:rsidRDefault="00D40DCF">
            <w:pPr>
              <w:snapToGrid w:val="0"/>
              <w:rPr>
                <w:szCs w:val="20"/>
              </w:rPr>
            </w:pPr>
          </w:p>
          <w:p w14:paraId="6F01B907" w14:textId="77777777" w:rsidR="00D40DCF" w:rsidRDefault="00D40DCF">
            <w:pPr>
              <w:rPr>
                <w:szCs w:val="20"/>
              </w:rPr>
            </w:pPr>
          </w:p>
          <w:p w14:paraId="302428DF" w14:textId="77777777" w:rsidR="00D40DCF" w:rsidRDefault="00D40DCF">
            <w:pPr>
              <w:rPr>
                <w:szCs w:val="20"/>
              </w:rPr>
            </w:pPr>
          </w:p>
          <w:p w14:paraId="7640B911" w14:textId="77777777" w:rsidR="00D40DCF" w:rsidRDefault="00D40DCF">
            <w:pPr>
              <w:rPr>
                <w:szCs w:val="20"/>
              </w:rPr>
            </w:pPr>
          </w:p>
          <w:p w14:paraId="2C08BB03" w14:textId="77777777" w:rsidR="00D40DCF" w:rsidRDefault="00D40DCF">
            <w:pPr>
              <w:rPr>
                <w:szCs w:val="20"/>
              </w:rPr>
            </w:pPr>
          </w:p>
          <w:p w14:paraId="65FB230D" w14:textId="77777777" w:rsidR="00D40DCF" w:rsidRDefault="00D40DCF">
            <w:pPr>
              <w:rPr>
                <w:szCs w:val="20"/>
              </w:rPr>
            </w:pPr>
          </w:p>
          <w:p w14:paraId="6E7C9611" w14:textId="77777777" w:rsidR="00203505" w:rsidRDefault="00203505">
            <w:pPr>
              <w:rPr>
                <w:szCs w:val="20"/>
              </w:rPr>
            </w:pPr>
          </w:p>
          <w:p w14:paraId="3C95FD0B" w14:textId="77777777" w:rsidR="00203505" w:rsidRDefault="00203505">
            <w:pPr>
              <w:rPr>
                <w:szCs w:val="20"/>
              </w:rPr>
            </w:pPr>
          </w:p>
          <w:p w14:paraId="61195401" w14:textId="77777777" w:rsidR="00203505" w:rsidRDefault="00203505">
            <w:pPr>
              <w:rPr>
                <w:szCs w:val="20"/>
              </w:rPr>
            </w:pPr>
          </w:p>
          <w:p w14:paraId="23B88F5E" w14:textId="77777777" w:rsidR="00203505" w:rsidRDefault="00203505">
            <w:pPr>
              <w:rPr>
                <w:szCs w:val="20"/>
              </w:rPr>
            </w:pPr>
          </w:p>
          <w:p w14:paraId="7A60DD4A" w14:textId="77777777" w:rsidR="00203505" w:rsidRDefault="00203505">
            <w:pPr>
              <w:rPr>
                <w:szCs w:val="20"/>
              </w:rPr>
            </w:pPr>
          </w:p>
          <w:p w14:paraId="71165F68" w14:textId="77777777" w:rsidR="00203505" w:rsidRDefault="00203505">
            <w:pPr>
              <w:rPr>
                <w:szCs w:val="20"/>
              </w:rPr>
            </w:pPr>
          </w:p>
          <w:p w14:paraId="02571EFB" w14:textId="77777777" w:rsidR="00203505" w:rsidRDefault="00203505">
            <w:pPr>
              <w:rPr>
                <w:szCs w:val="20"/>
              </w:rPr>
            </w:pPr>
          </w:p>
          <w:p w14:paraId="634C42F2" w14:textId="77777777" w:rsidR="00203505" w:rsidRDefault="00203505">
            <w:pPr>
              <w:rPr>
                <w:szCs w:val="20"/>
              </w:rPr>
            </w:pPr>
          </w:p>
          <w:p w14:paraId="7FB12DDB" w14:textId="77777777" w:rsidR="00203505" w:rsidRDefault="00203505">
            <w:pPr>
              <w:rPr>
                <w:szCs w:val="20"/>
              </w:rPr>
            </w:pPr>
          </w:p>
          <w:p w14:paraId="4B3929A3" w14:textId="77777777" w:rsidR="00D40DCF" w:rsidRDefault="00D40DCF">
            <w:pPr>
              <w:rPr>
                <w:szCs w:val="20"/>
              </w:rPr>
            </w:pPr>
          </w:p>
        </w:tc>
      </w:tr>
    </w:tbl>
    <w:p w14:paraId="5AA5E29E" w14:textId="77777777" w:rsidR="00D40DCF" w:rsidRDefault="00203505">
      <w:r>
        <w:rPr>
          <w:szCs w:val="20"/>
        </w:rPr>
        <w:t xml:space="preserve">Figure 1. </w:t>
      </w:r>
      <w:proofErr w:type="gramStart"/>
      <w:r>
        <w:rPr>
          <w:szCs w:val="20"/>
        </w:rPr>
        <w:t xml:space="preserve">Temporal variation of the droplet mean diameter at 50 mm downstream of the nozzle at centerline and 6 mm </w:t>
      </w:r>
      <w:proofErr w:type="spellStart"/>
      <w:r>
        <w:rPr>
          <w:szCs w:val="20"/>
        </w:rPr>
        <w:t>off-center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Error bars represent 2 standard deviations obtained from repetitive measurements.</w:t>
      </w:r>
    </w:p>
    <w:p w14:paraId="28F3B685" w14:textId="77777777" w:rsidR="00203505" w:rsidRDefault="00203505"/>
    <w:p w14:paraId="28ADCE1B" w14:textId="77777777" w:rsidR="00D40DCF" w:rsidRDefault="00D40DCF">
      <w:pPr>
        <w:rPr>
          <w:szCs w:val="20"/>
          <w:u w:val="single"/>
        </w:rPr>
      </w:pPr>
      <w:r>
        <w:rPr>
          <w:szCs w:val="20"/>
          <w:u w:val="single"/>
        </w:rPr>
        <w:t>Tables</w:t>
      </w:r>
    </w:p>
    <w:p w14:paraId="2EC8A7B8" w14:textId="77777777" w:rsidR="00D40DCF" w:rsidRDefault="00D40DCF">
      <w:pPr>
        <w:rPr>
          <w:szCs w:val="20"/>
        </w:rPr>
      </w:pPr>
      <w:r>
        <w:rPr>
          <w:szCs w:val="20"/>
        </w:rPr>
        <w:t>Tables should be numbered consecutively with Arabic numerals. Footnotes to tables should be indicated by superior letters, beginning with “a”. T</w:t>
      </w:r>
      <w:r w:rsidR="003E0884">
        <w:rPr>
          <w:szCs w:val="20"/>
        </w:rPr>
        <w:t xml:space="preserve">he table </w:t>
      </w:r>
      <w:r>
        <w:rPr>
          <w:szCs w:val="20"/>
        </w:rPr>
        <w:t xml:space="preserve">caption </w:t>
      </w:r>
      <w:r w:rsidR="003E0884">
        <w:rPr>
          <w:szCs w:val="20"/>
        </w:rPr>
        <w:t>should be above</w:t>
      </w:r>
      <w:r>
        <w:rPr>
          <w:szCs w:val="20"/>
        </w:rPr>
        <w:t xml:space="preserve"> the </w:t>
      </w:r>
      <w:r w:rsidR="003E0884">
        <w:rPr>
          <w:szCs w:val="20"/>
        </w:rPr>
        <w:t>t</w:t>
      </w:r>
      <w:r>
        <w:rPr>
          <w:szCs w:val="20"/>
        </w:rPr>
        <w:t>able, as shown below:</w:t>
      </w:r>
    </w:p>
    <w:p w14:paraId="62D70360" w14:textId="77777777" w:rsidR="00D40DCF" w:rsidRDefault="00D40DCF">
      <w:pPr>
        <w:rPr>
          <w:szCs w:val="20"/>
        </w:rPr>
      </w:pPr>
    </w:p>
    <w:p w14:paraId="6DA9694A" w14:textId="77777777" w:rsidR="00D40DCF" w:rsidRDefault="00D40DCF">
      <w:pPr>
        <w:rPr>
          <w:szCs w:val="20"/>
        </w:rPr>
      </w:pPr>
    </w:p>
    <w:p w14:paraId="17393FE9" w14:textId="77777777" w:rsidR="00D40DCF" w:rsidRDefault="00D40DCF">
      <w:pPr>
        <w:rPr>
          <w:szCs w:val="20"/>
        </w:rPr>
      </w:pPr>
      <w:r>
        <w:rPr>
          <w:szCs w:val="20"/>
        </w:rPr>
        <w:t xml:space="preserve">Table 1. Relative concentrations of species at 4000 K and 56 </w:t>
      </w:r>
      <w:proofErr w:type="spellStart"/>
      <w:r>
        <w:rPr>
          <w:szCs w:val="20"/>
        </w:rPr>
        <w:t>MPa</w:t>
      </w:r>
      <w:proofErr w:type="spellEnd"/>
      <w:r>
        <w:rPr>
          <w:szCs w:val="20"/>
        </w:rPr>
        <w:t xml:space="preserve"> computed using detailed chemical mechanism assuming identical binary diffusion coefficients and temperature dependent transport properties.</w:t>
      </w:r>
    </w:p>
    <w:p w14:paraId="0A558339" w14:textId="77777777" w:rsidR="00D40DCF" w:rsidRDefault="00D40DCF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D40DCF" w14:paraId="35282620" w14:textId="77777777">
        <w:tc>
          <w:tcPr>
            <w:tcW w:w="1107" w:type="dxa"/>
            <w:tcBorders>
              <w:top w:val="single" w:sz="8" w:space="0" w:color="008000"/>
              <w:bottom w:val="single" w:sz="4" w:space="0" w:color="008000"/>
            </w:tcBorders>
            <w:shd w:val="clear" w:color="auto" w:fill="auto"/>
          </w:tcPr>
          <w:p w14:paraId="0D97D051" w14:textId="77777777" w:rsidR="00D40DCF" w:rsidRDefault="00D40DCF">
            <w:pPr>
              <w:pStyle w:val="TableText"/>
              <w:snapToGrid w:val="0"/>
            </w:pPr>
            <w:r>
              <w:t>Set</w:t>
            </w:r>
          </w:p>
        </w:tc>
        <w:tc>
          <w:tcPr>
            <w:tcW w:w="1107" w:type="dxa"/>
            <w:tcBorders>
              <w:top w:val="single" w:sz="8" w:space="0" w:color="008000"/>
              <w:bottom w:val="single" w:sz="4" w:space="0" w:color="008000"/>
            </w:tcBorders>
            <w:shd w:val="clear" w:color="auto" w:fill="auto"/>
          </w:tcPr>
          <w:p w14:paraId="141F6628" w14:textId="77777777" w:rsidR="00D40DCF" w:rsidRDefault="00D40DCF">
            <w:pPr>
              <w:pStyle w:val="TableText"/>
              <w:snapToGrid w:val="0"/>
            </w:pPr>
            <w:r>
              <w:t>H</w:t>
            </w:r>
          </w:p>
        </w:tc>
        <w:tc>
          <w:tcPr>
            <w:tcW w:w="1107" w:type="dxa"/>
            <w:tcBorders>
              <w:top w:val="single" w:sz="8" w:space="0" w:color="008000"/>
              <w:bottom w:val="single" w:sz="4" w:space="0" w:color="008000"/>
            </w:tcBorders>
            <w:shd w:val="clear" w:color="auto" w:fill="auto"/>
          </w:tcPr>
          <w:p w14:paraId="139EBEE3" w14:textId="77777777" w:rsidR="00D40DCF" w:rsidRDefault="00D40DCF">
            <w:pPr>
              <w:pStyle w:val="TableText"/>
              <w:snapToGrid w:val="0"/>
            </w:pPr>
            <w:r>
              <w:t>O</w:t>
            </w:r>
          </w:p>
        </w:tc>
        <w:tc>
          <w:tcPr>
            <w:tcW w:w="1107" w:type="dxa"/>
            <w:tcBorders>
              <w:top w:val="single" w:sz="8" w:space="0" w:color="008000"/>
              <w:bottom w:val="single" w:sz="4" w:space="0" w:color="008000"/>
            </w:tcBorders>
            <w:shd w:val="clear" w:color="auto" w:fill="auto"/>
          </w:tcPr>
          <w:p w14:paraId="4C0DC056" w14:textId="77777777" w:rsidR="00D40DCF" w:rsidRDefault="00D40DCF">
            <w:pPr>
              <w:pStyle w:val="TableText"/>
              <w:snapToGrid w:val="0"/>
            </w:pPr>
            <w:r>
              <w:t>OH</w:t>
            </w:r>
          </w:p>
        </w:tc>
        <w:tc>
          <w:tcPr>
            <w:tcW w:w="1107" w:type="dxa"/>
            <w:tcBorders>
              <w:top w:val="single" w:sz="8" w:space="0" w:color="008000"/>
              <w:bottom w:val="single" w:sz="4" w:space="0" w:color="008000"/>
            </w:tcBorders>
            <w:shd w:val="clear" w:color="auto" w:fill="auto"/>
          </w:tcPr>
          <w:p w14:paraId="46989416" w14:textId="77777777" w:rsidR="00D40DCF" w:rsidRDefault="00D40DCF">
            <w:pPr>
              <w:pStyle w:val="TableText"/>
              <w:snapToGrid w:val="0"/>
              <w:rPr>
                <w:vertAlign w:val="superscript"/>
              </w:rPr>
            </w:pPr>
            <w:proofErr w:type="spellStart"/>
            <w:r>
              <w:t>CH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07" w:type="dxa"/>
            <w:tcBorders>
              <w:top w:val="single" w:sz="8" w:space="0" w:color="008000"/>
              <w:bottom w:val="single" w:sz="4" w:space="0" w:color="008000"/>
            </w:tcBorders>
            <w:shd w:val="clear" w:color="auto" w:fill="auto"/>
          </w:tcPr>
          <w:p w14:paraId="6675D898" w14:textId="77777777" w:rsidR="00D40DCF" w:rsidRDefault="00D40DCF">
            <w:pPr>
              <w:pStyle w:val="TableText"/>
              <w:snapToGrid w:val="0"/>
              <w:rPr>
                <w:vertAlign w:val="superscript"/>
              </w:rPr>
            </w:pPr>
            <w:proofErr w:type="spellStart"/>
            <w:r>
              <w:t>N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07" w:type="dxa"/>
            <w:tcBorders>
              <w:top w:val="single" w:sz="8" w:space="0" w:color="008000"/>
              <w:bottom w:val="single" w:sz="4" w:space="0" w:color="008000"/>
            </w:tcBorders>
            <w:shd w:val="clear" w:color="auto" w:fill="auto"/>
          </w:tcPr>
          <w:p w14:paraId="52033FCB" w14:textId="77777777" w:rsidR="00D40DCF" w:rsidRDefault="00D40DCF">
            <w:pPr>
              <w:pStyle w:val="TableText"/>
              <w:snapToGrid w:val="0"/>
            </w:pPr>
            <w:r>
              <w:t>S</w:t>
            </w:r>
          </w:p>
        </w:tc>
        <w:tc>
          <w:tcPr>
            <w:tcW w:w="1107" w:type="dxa"/>
            <w:tcBorders>
              <w:top w:val="single" w:sz="8" w:space="0" w:color="008000"/>
              <w:bottom w:val="single" w:sz="4" w:space="0" w:color="008000"/>
            </w:tcBorders>
            <w:shd w:val="clear" w:color="auto" w:fill="auto"/>
          </w:tcPr>
          <w:p w14:paraId="61B34342" w14:textId="77777777" w:rsidR="00D40DCF" w:rsidRDefault="00D40DCF">
            <w:pPr>
              <w:pStyle w:val="TableText"/>
              <w:snapToGrid w:val="0"/>
            </w:pPr>
            <w:r>
              <w:t>R</w:t>
            </w:r>
          </w:p>
        </w:tc>
      </w:tr>
      <w:tr w:rsidR="00D40DCF" w14:paraId="551D188C" w14:textId="77777777">
        <w:tc>
          <w:tcPr>
            <w:tcW w:w="1107" w:type="dxa"/>
            <w:shd w:val="clear" w:color="auto" w:fill="auto"/>
          </w:tcPr>
          <w:p w14:paraId="604B69B9" w14:textId="77777777" w:rsidR="00D40DCF" w:rsidRDefault="00D40DCF">
            <w:pPr>
              <w:pStyle w:val="TableText"/>
              <w:snapToGrid w:val="0"/>
            </w:pPr>
            <w:r>
              <w:t>1</w:t>
            </w:r>
          </w:p>
        </w:tc>
        <w:tc>
          <w:tcPr>
            <w:tcW w:w="1107" w:type="dxa"/>
            <w:shd w:val="clear" w:color="auto" w:fill="auto"/>
          </w:tcPr>
          <w:p w14:paraId="4823BEB7" w14:textId="77777777" w:rsidR="00D40DCF" w:rsidRDefault="00D40DCF">
            <w:pPr>
              <w:pStyle w:val="TableText"/>
              <w:snapToGrid w:val="0"/>
            </w:pPr>
            <w:r>
              <w:t>0.01</w:t>
            </w:r>
          </w:p>
        </w:tc>
        <w:tc>
          <w:tcPr>
            <w:tcW w:w="1107" w:type="dxa"/>
            <w:shd w:val="clear" w:color="auto" w:fill="auto"/>
          </w:tcPr>
          <w:p w14:paraId="1E584A86" w14:textId="77777777" w:rsidR="00D40DCF" w:rsidRDefault="00D40DCF">
            <w:pPr>
              <w:pStyle w:val="TableText"/>
              <w:snapToGrid w:val="0"/>
            </w:pPr>
            <w:r>
              <w:t>0.03</w:t>
            </w:r>
          </w:p>
        </w:tc>
        <w:tc>
          <w:tcPr>
            <w:tcW w:w="1107" w:type="dxa"/>
            <w:shd w:val="clear" w:color="auto" w:fill="auto"/>
          </w:tcPr>
          <w:p w14:paraId="3C2FBA91" w14:textId="77777777" w:rsidR="00D40DCF" w:rsidRDefault="00D40DCF">
            <w:pPr>
              <w:pStyle w:val="TableText"/>
              <w:snapToGrid w:val="0"/>
            </w:pPr>
            <w:r>
              <w:t>0.08</w:t>
            </w:r>
          </w:p>
        </w:tc>
        <w:tc>
          <w:tcPr>
            <w:tcW w:w="1107" w:type="dxa"/>
            <w:shd w:val="clear" w:color="auto" w:fill="auto"/>
          </w:tcPr>
          <w:p w14:paraId="0E1515E2" w14:textId="77777777" w:rsidR="00D40DCF" w:rsidRDefault="00D40DCF">
            <w:pPr>
              <w:pStyle w:val="TableText"/>
              <w:snapToGrid w:val="0"/>
            </w:pPr>
            <w:r>
              <w:t>0.01</w:t>
            </w:r>
          </w:p>
        </w:tc>
        <w:tc>
          <w:tcPr>
            <w:tcW w:w="1107" w:type="dxa"/>
            <w:shd w:val="clear" w:color="auto" w:fill="auto"/>
          </w:tcPr>
          <w:p w14:paraId="59F54456" w14:textId="77777777" w:rsidR="00D40DCF" w:rsidRDefault="00D40DCF">
            <w:pPr>
              <w:pStyle w:val="TableText"/>
              <w:snapToGrid w:val="0"/>
            </w:pPr>
            <w:r>
              <w:t>0.08</w:t>
            </w:r>
          </w:p>
        </w:tc>
        <w:tc>
          <w:tcPr>
            <w:tcW w:w="1107" w:type="dxa"/>
            <w:shd w:val="clear" w:color="auto" w:fill="auto"/>
          </w:tcPr>
          <w:p w14:paraId="314B6ACA" w14:textId="77777777" w:rsidR="00D40DCF" w:rsidRDefault="00D40DCF">
            <w:pPr>
              <w:pStyle w:val="TableText"/>
              <w:snapToGrid w:val="0"/>
            </w:pPr>
            <w:r>
              <w:t>0.03</w:t>
            </w:r>
          </w:p>
        </w:tc>
        <w:tc>
          <w:tcPr>
            <w:tcW w:w="1107" w:type="dxa"/>
            <w:shd w:val="clear" w:color="auto" w:fill="auto"/>
          </w:tcPr>
          <w:p w14:paraId="354C8F2A" w14:textId="77777777" w:rsidR="00D40DCF" w:rsidRDefault="00D40DCF">
            <w:pPr>
              <w:pStyle w:val="TableText"/>
              <w:snapToGrid w:val="0"/>
            </w:pPr>
            <w:r>
              <w:t>0.01</w:t>
            </w:r>
          </w:p>
        </w:tc>
      </w:tr>
      <w:tr w:rsidR="00D40DCF" w14:paraId="75E5057E" w14:textId="77777777">
        <w:tc>
          <w:tcPr>
            <w:tcW w:w="1107" w:type="dxa"/>
            <w:shd w:val="clear" w:color="auto" w:fill="auto"/>
          </w:tcPr>
          <w:p w14:paraId="584387FA" w14:textId="77777777" w:rsidR="00D40DCF" w:rsidRDefault="00D40DCF">
            <w:pPr>
              <w:pStyle w:val="TableText"/>
              <w:snapToGrid w:val="0"/>
            </w:pPr>
            <w:r>
              <w:t>2</w:t>
            </w:r>
          </w:p>
        </w:tc>
        <w:tc>
          <w:tcPr>
            <w:tcW w:w="1107" w:type="dxa"/>
            <w:shd w:val="clear" w:color="auto" w:fill="auto"/>
          </w:tcPr>
          <w:p w14:paraId="31C468D9" w14:textId="77777777" w:rsidR="00D40DCF" w:rsidRDefault="00D40DCF">
            <w:pPr>
              <w:pStyle w:val="TableText"/>
              <w:snapToGrid w:val="0"/>
            </w:pPr>
            <w:r>
              <w:t>0.08</w:t>
            </w:r>
          </w:p>
        </w:tc>
        <w:tc>
          <w:tcPr>
            <w:tcW w:w="1107" w:type="dxa"/>
            <w:shd w:val="clear" w:color="auto" w:fill="auto"/>
          </w:tcPr>
          <w:p w14:paraId="56F71D4E" w14:textId="77777777" w:rsidR="00D40DCF" w:rsidRDefault="00D40DCF">
            <w:pPr>
              <w:pStyle w:val="TableText"/>
              <w:snapToGrid w:val="0"/>
            </w:pPr>
            <w:r>
              <w:t>0.01</w:t>
            </w:r>
          </w:p>
        </w:tc>
        <w:tc>
          <w:tcPr>
            <w:tcW w:w="1107" w:type="dxa"/>
            <w:shd w:val="clear" w:color="auto" w:fill="auto"/>
          </w:tcPr>
          <w:p w14:paraId="612C1652" w14:textId="77777777" w:rsidR="00D40DCF" w:rsidRDefault="00D40DCF">
            <w:pPr>
              <w:pStyle w:val="TableText"/>
              <w:snapToGrid w:val="0"/>
            </w:pPr>
            <w:r>
              <w:t>0.03</w:t>
            </w:r>
          </w:p>
        </w:tc>
        <w:tc>
          <w:tcPr>
            <w:tcW w:w="1107" w:type="dxa"/>
            <w:shd w:val="clear" w:color="auto" w:fill="auto"/>
          </w:tcPr>
          <w:p w14:paraId="73613196" w14:textId="77777777" w:rsidR="00D40DCF" w:rsidRDefault="00D40DCF">
            <w:pPr>
              <w:pStyle w:val="TableText"/>
              <w:snapToGrid w:val="0"/>
            </w:pPr>
            <w:r>
              <w:t>0.08</w:t>
            </w:r>
          </w:p>
        </w:tc>
        <w:tc>
          <w:tcPr>
            <w:tcW w:w="1107" w:type="dxa"/>
            <w:shd w:val="clear" w:color="auto" w:fill="auto"/>
          </w:tcPr>
          <w:p w14:paraId="72B8339C" w14:textId="77777777" w:rsidR="00D40DCF" w:rsidRDefault="00D40DCF">
            <w:pPr>
              <w:pStyle w:val="TableText"/>
              <w:snapToGrid w:val="0"/>
            </w:pPr>
            <w:r>
              <w:t>0.03</w:t>
            </w:r>
          </w:p>
        </w:tc>
        <w:tc>
          <w:tcPr>
            <w:tcW w:w="1107" w:type="dxa"/>
            <w:shd w:val="clear" w:color="auto" w:fill="auto"/>
          </w:tcPr>
          <w:p w14:paraId="1FA0EC13" w14:textId="77777777" w:rsidR="00D40DCF" w:rsidRDefault="00D40DCF">
            <w:pPr>
              <w:pStyle w:val="TableText"/>
              <w:snapToGrid w:val="0"/>
            </w:pPr>
            <w:r>
              <w:t>0.01</w:t>
            </w:r>
          </w:p>
        </w:tc>
        <w:tc>
          <w:tcPr>
            <w:tcW w:w="1107" w:type="dxa"/>
            <w:shd w:val="clear" w:color="auto" w:fill="auto"/>
          </w:tcPr>
          <w:p w14:paraId="7B8D46E0" w14:textId="77777777" w:rsidR="00D40DCF" w:rsidRDefault="00D40DCF">
            <w:pPr>
              <w:pStyle w:val="TableText"/>
              <w:snapToGrid w:val="0"/>
            </w:pPr>
            <w:r>
              <w:t>0.03</w:t>
            </w:r>
          </w:p>
        </w:tc>
      </w:tr>
      <w:tr w:rsidR="00D40DCF" w14:paraId="5CBD522C" w14:textId="77777777">
        <w:tc>
          <w:tcPr>
            <w:tcW w:w="1107" w:type="dxa"/>
            <w:shd w:val="clear" w:color="auto" w:fill="auto"/>
          </w:tcPr>
          <w:p w14:paraId="6E10B85E" w14:textId="77777777" w:rsidR="00D40DCF" w:rsidRDefault="00D40DCF">
            <w:pPr>
              <w:pStyle w:val="TableText"/>
              <w:snapToGrid w:val="0"/>
            </w:pPr>
            <w:r>
              <w:t>3</w:t>
            </w:r>
          </w:p>
        </w:tc>
        <w:tc>
          <w:tcPr>
            <w:tcW w:w="1107" w:type="dxa"/>
            <w:shd w:val="clear" w:color="auto" w:fill="auto"/>
          </w:tcPr>
          <w:p w14:paraId="127DE942" w14:textId="77777777" w:rsidR="00D40DCF" w:rsidRDefault="00D40DCF">
            <w:pPr>
              <w:pStyle w:val="TableText"/>
              <w:snapToGrid w:val="0"/>
            </w:pPr>
            <w:r>
              <w:t>0.03</w:t>
            </w:r>
          </w:p>
        </w:tc>
        <w:tc>
          <w:tcPr>
            <w:tcW w:w="1107" w:type="dxa"/>
            <w:shd w:val="clear" w:color="auto" w:fill="auto"/>
          </w:tcPr>
          <w:p w14:paraId="036A4D3E" w14:textId="77777777" w:rsidR="00D40DCF" w:rsidRDefault="00D40DCF">
            <w:pPr>
              <w:pStyle w:val="TableText"/>
              <w:snapToGrid w:val="0"/>
            </w:pPr>
            <w:r>
              <w:t>0.03</w:t>
            </w:r>
          </w:p>
        </w:tc>
        <w:tc>
          <w:tcPr>
            <w:tcW w:w="1107" w:type="dxa"/>
            <w:shd w:val="clear" w:color="auto" w:fill="auto"/>
          </w:tcPr>
          <w:p w14:paraId="2021E2D9" w14:textId="77777777" w:rsidR="00D40DCF" w:rsidRDefault="00D40DCF">
            <w:pPr>
              <w:pStyle w:val="TableText"/>
              <w:snapToGrid w:val="0"/>
            </w:pPr>
            <w:r>
              <w:t>0.01</w:t>
            </w:r>
          </w:p>
        </w:tc>
        <w:tc>
          <w:tcPr>
            <w:tcW w:w="1107" w:type="dxa"/>
            <w:shd w:val="clear" w:color="auto" w:fill="auto"/>
          </w:tcPr>
          <w:p w14:paraId="4F084F76" w14:textId="77777777" w:rsidR="00D40DCF" w:rsidRDefault="00D40DCF">
            <w:pPr>
              <w:pStyle w:val="TableText"/>
              <w:snapToGrid w:val="0"/>
            </w:pPr>
            <w:r>
              <w:t>0.03</w:t>
            </w:r>
          </w:p>
        </w:tc>
        <w:tc>
          <w:tcPr>
            <w:tcW w:w="1107" w:type="dxa"/>
            <w:shd w:val="clear" w:color="auto" w:fill="auto"/>
          </w:tcPr>
          <w:p w14:paraId="0CDD374A" w14:textId="77777777" w:rsidR="00D40DCF" w:rsidRDefault="00D40DCF">
            <w:pPr>
              <w:pStyle w:val="TableText"/>
              <w:snapToGrid w:val="0"/>
            </w:pPr>
            <w:r>
              <w:t>0.01</w:t>
            </w:r>
          </w:p>
        </w:tc>
        <w:tc>
          <w:tcPr>
            <w:tcW w:w="1107" w:type="dxa"/>
            <w:shd w:val="clear" w:color="auto" w:fill="auto"/>
          </w:tcPr>
          <w:p w14:paraId="1D9EC80F" w14:textId="77777777" w:rsidR="00D40DCF" w:rsidRDefault="00D40DCF">
            <w:pPr>
              <w:pStyle w:val="TableText"/>
              <w:snapToGrid w:val="0"/>
            </w:pPr>
            <w:r>
              <w:t>0.08</w:t>
            </w:r>
          </w:p>
        </w:tc>
        <w:tc>
          <w:tcPr>
            <w:tcW w:w="1107" w:type="dxa"/>
            <w:shd w:val="clear" w:color="auto" w:fill="auto"/>
          </w:tcPr>
          <w:p w14:paraId="6F6DA76F" w14:textId="77777777" w:rsidR="00D40DCF" w:rsidRDefault="00D40DCF">
            <w:pPr>
              <w:pStyle w:val="TableText"/>
              <w:snapToGrid w:val="0"/>
            </w:pPr>
            <w:r>
              <w:t>0.01</w:t>
            </w:r>
          </w:p>
        </w:tc>
      </w:tr>
      <w:tr w:rsidR="00D40DCF" w14:paraId="3A7F517A" w14:textId="77777777">
        <w:tc>
          <w:tcPr>
            <w:tcW w:w="1107" w:type="dxa"/>
            <w:shd w:val="clear" w:color="auto" w:fill="auto"/>
          </w:tcPr>
          <w:p w14:paraId="66063DC5" w14:textId="77777777" w:rsidR="00D40DCF" w:rsidRDefault="00D40DCF">
            <w:pPr>
              <w:pStyle w:val="TableText"/>
              <w:snapToGrid w:val="0"/>
            </w:pPr>
            <w:r>
              <w:t>4</w:t>
            </w:r>
          </w:p>
        </w:tc>
        <w:tc>
          <w:tcPr>
            <w:tcW w:w="1107" w:type="dxa"/>
            <w:shd w:val="clear" w:color="auto" w:fill="auto"/>
          </w:tcPr>
          <w:p w14:paraId="187C9BF7" w14:textId="77777777" w:rsidR="00D40DCF" w:rsidRDefault="00D40DCF">
            <w:pPr>
              <w:pStyle w:val="TableText"/>
              <w:snapToGrid w:val="0"/>
            </w:pPr>
            <w:r>
              <w:t>0.01</w:t>
            </w:r>
          </w:p>
        </w:tc>
        <w:tc>
          <w:tcPr>
            <w:tcW w:w="1107" w:type="dxa"/>
            <w:shd w:val="clear" w:color="auto" w:fill="auto"/>
          </w:tcPr>
          <w:p w14:paraId="7F780DB2" w14:textId="77777777" w:rsidR="00D40DCF" w:rsidRDefault="00D40DCF">
            <w:pPr>
              <w:pStyle w:val="TableText"/>
              <w:snapToGrid w:val="0"/>
            </w:pPr>
            <w:r>
              <w:t>0.08</w:t>
            </w:r>
          </w:p>
        </w:tc>
        <w:tc>
          <w:tcPr>
            <w:tcW w:w="1107" w:type="dxa"/>
            <w:shd w:val="clear" w:color="auto" w:fill="auto"/>
          </w:tcPr>
          <w:p w14:paraId="3BB263FE" w14:textId="77777777" w:rsidR="00D40DCF" w:rsidRDefault="00D40DCF">
            <w:pPr>
              <w:pStyle w:val="TableText"/>
              <w:snapToGrid w:val="0"/>
            </w:pPr>
            <w:r>
              <w:t>0.03</w:t>
            </w:r>
          </w:p>
        </w:tc>
        <w:tc>
          <w:tcPr>
            <w:tcW w:w="1107" w:type="dxa"/>
            <w:shd w:val="clear" w:color="auto" w:fill="auto"/>
          </w:tcPr>
          <w:p w14:paraId="45B2EAB4" w14:textId="77777777" w:rsidR="00D40DCF" w:rsidRDefault="00D40DCF">
            <w:pPr>
              <w:pStyle w:val="TableText"/>
              <w:snapToGrid w:val="0"/>
            </w:pPr>
            <w:r>
              <w:t>0.01</w:t>
            </w:r>
          </w:p>
        </w:tc>
        <w:tc>
          <w:tcPr>
            <w:tcW w:w="1107" w:type="dxa"/>
            <w:shd w:val="clear" w:color="auto" w:fill="auto"/>
          </w:tcPr>
          <w:p w14:paraId="7BE2D6A6" w14:textId="77777777" w:rsidR="00D40DCF" w:rsidRDefault="00D40DCF">
            <w:pPr>
              <w:pStyle w:val="TableText"/>
              <w:snapToGrid w:val="0"/>
            </w:pPr>
            <w:r>
              <w:t>0.03</w:t>
            </w:r>
          </w:p>
        </w:tc>
        <w:tc>
          <w:tcPr>
            <w:tcW w:w="1107" w:type="dxa"/>
            <w:shd w:val="clear" w:color="auto" w:fill="auto"/>
          </w:tcPr>
          <w:p w14:paraId="4851A7A6" w14:textId="77777777" w:rsidR="00D40DCF" w:rsidRDefault="00D40DCF">
            <w:pPr>
              <w:pStyle w:val="TableText"/>
              <w:snapToGrid w:val="0"/>
            </w:pPr>
            <w:r>
              <w:t>0.01</w:t>
            </w:r>
          </w:p>
        </w:tc>
        <w:tc>
          <w:tcPr>
            <w:tcW w:w="1107" w:type="dxa"/>
            <w:shd w:val="clear" w:color="auto" w:fill="auto"/>
          </w:tcPr>
          <w:p w14:paraId="7F996331" w14:textId="77777777" w:rsidR="00D40DCF" w:rsidRDefault="00D40DCF">
            <w:pPr>
              <w:pStyle w:val="TableText"/>
              <w:snapToGrid w:val="0"/>
            </w:pPr>
            <w:r>
              <w:t>0.08</w:t>
            </w:r>
          </w:p>
        </w:tc>
      </w:tr>
      <w:tr w:rsidR="00D40DCF" w14:paraId="1BBCDE81" w14:textId="77777777">
        <w:tc>
          <w:tcPr>
            <w:tcW w:w="1107" w:type="dxa"/>
            <w:tcBorders>
              <w:top w:val="single" w:sz="4" w:space="0" w:color="008000"/>
              <w:bottom w:val="single" w:sz="8" w:space="0" w:color="008000"/>
            </w:tcBorders>
            <w:shd w:val="clear" w:color="auto" w:fill="auto"/>
          </w:tcPr>
          <w:p w14:paraId="416586C5" w14:textId="77777777" w:rsidR="00D40DCF" w:rsidRDefault="00D40DCF">
            <w:pPr>
              <w:pStyle w:val="TableText"/>
              <w:snapToGrid w:val="0"/>
            </w:pPr>
            <w:r>
              <w:t>5</w:t>
            </w:r>
          </w:p>
        </w:tc>
        <w:tc>
          <w:tcPr>
            <w:tcW w:w="1107" w:type="dxa"/>
            <w:tcBorders>
              <w:top w:val="single" w:sz="4" w:space="0" w:color="008000"/>
              <w:bottom w:val="single" w:sz="8" w:space="0" w:color="008000"/>
            </w:tcBorders>
            <w:shd w:val="clear" w:color="auto" w:fill="auto"/>
          </w:tcPr>
          <w:p w14:paraId="6EEFF80C" w14:textId="77777777" w:rsidR="00D40DCF" w:rsidRDefault="00D40DCF">
            <w:pPr>
              <w:pStyle w:val="TableText"/>
              <w:snapToGrid w:val="0"/>
            </w:pPr>
            <w:r>
              <w:t>0.08</w:t>
            </w:r>
          </w:p>
        </w:tc>
        <w:tc>
          <w:tcPr>
            <w:tcW w:w="1107" w:type="dxa"/>
            <w:tcBorders>
              <w:top w:val="single" w:sz="4" w:space="0" w:color="008000"/>
              <w:bottom w:val="single" w:sz="8" w:space="0" w:color="008000"/>
            </w:tcBorders>
            <w:shd w:val="clear" w:color="auto" w:fill="auto"/>
          </w:tcPr>
          <w:p w14:paraId="070BE551" w14:textId="77777777" w:rsidR="00D40DCF" w:rsidRDefault="00D40DCF">
            <w:pPr>
              <w:pStyle w:val="TableText"/>
              <w:snapToGrid w:val="0"/>
            </w:pPr>
            <w:r>
              <w:t>0.03</w:t>
            </w:r>
          </w:p>
        </w:tc>
        <w:tc>
          <w:tcPr>
            <w:tcW w:w="1107" w:type="dxa"/>
            <w:tcBorders>
              <w:top w:val="single" w:sz="4" w:space="0" w:color="008000"/>
              <w:bottom w:val="single" w:sz="8" w:space="0" w:color="008000"/>
            </w:tcBorders>
            <w:shd w:val="clear" w:color="auto" w:fill="auto"/>
          </w:tcPr>
          <w:p w14:paraId="6E68F8C3" w14:textId="77777777" w:rsidR="00D40DCF" w:rsidRDefault="00D40DCF">
            <w:pPr>
              <w:pStyle w:val="TableText"/>
              <w:snapToGrid w:val="0"/>
            </w:pPr>
            <w:r>
              <w:t>0.08</w:t>
            </w:r>
          </w:p>
        </w:tc>
        <w:tc>
          <w:tcPr>
            <w:tcW w:w="1107" w:type="dxa"/>
            <w:tcBorders>
              <w:top w:val="single" w:sz="4" w:space="0" w:color="008000"/>
              <w:bottom w:val="single" w:sz="8" w:space="0" w:color="008000"/>
            </w:tcBorders>
            <w:shd w:val="clear" w:color="auto" w:fill="auto"/>
          </w:tcPr>
          <w:p w14:paraId="4C1C54B7" w14:textId="77777777" w:rsidR="00D40DCF" w:rsidRDefault="00D40DCF">
            <w:pPr>
              <w:pStyle w:val="TableText"/>
              <w:snapToGrid w:val="0"/>
            </w:pPr>
            <w:r>
              <w:t>0.03</w:t>
            </w:r>
          </w:p>
        </w:tc>
        <w:tc>
          <w:tcPr>
            <w:tcW w:w="1107" w:type="dxa"/>
            <w:tcBorders>
              <w:top w:val="single" w:sz="4" w:space="0" w:color="008000"/>
              <w:bottom w:val="single" w:sz="8" w:space="0" w:color="008000"/>
            </w:tcBorders>
            <w:shd w:val="clear" w:color="auto" w:fill="auto"/>
          </w:tcPr>
          <w:p w14:paraId="75EABE54" w14:textId="77777777" w:rsidR="00D40DCF" w:rsidRDefault="00D40DCF">
            <w:pPr>
              <w:pStyle w:val="TableText"/>
              <w:snapToGrid w:val="0"/>
            </w:pPr>
            <w:r>
              <w:t>0.01</w:t>
            </w:r>
          </w:p>
        </w:tc>
        <w:tc>
          <w:tcPr>
            <w:tcW w:w="1107" w:type="dxa"/>
            <w:tcBorders>
              <w:top w:val="single" w:sz="4" w:space="0" w:color="008000"/>
              <w:bottom w:val="single" w:sz="8" w:space="0" w:color="008000"/>
            </w:tcBorders>
            <w:shd w:val="clear" w:color="auto" w:fill="auto"/>
          </w:tcPr>
          <w:p w14:paraId="49949227" w14:textId="77777777" w:rsidR="00D40DCF" w:rsidRDefault="00D40DCF">
            <w:pPr>
              <w:pStyle w:val="TableText"/>
              <w:snapToGrid w:val="0"/>
            </w:pPr>
            <w:r>
              <w:t>0.03</w:t>
            </w:r>
          </w:p>
        </w:tc>
        <w:tc>
          <w:tcPr>
            <w:tcW w:w="1107" w:type="dxa"/>
            <w:tcBorders>
              <w:top w:val="single" w:sz="4" w:space="0" w:color="008000"/>
              <w:bottom w:val="single" w:sz="8" w:space="0" w:color="008000"/>
            </w:tcBorders>
            <w:shd w:val="clear" w:color="auto" w:fill="auto"/>
          </w:tcPr>
          <w:p w14:paraId="63B7C2E6" w14:textId="77777777" w:rsidR="00D40DCF" w:rsidRDefault="00D40DCF">
            <w:pPr>
              <w:pStyle w:val="TableText"/>
              <w:snapToGrid w:val="0"/>
            </w:pPr>
            <w:r>
              <w:t>0.01</w:t>
            </w:r>
          </w:p>
        </w:tc>
      </w:tr>
    </w:tbl>
    <w:p w14:paraId="37B0B263" w14:textId="77777777" w:rsidR="00D40DCF" w:rsidRDefault="00D40DCF">
      <w:pPr>
        <w:rPr>
          <w:szCs w:val="20"/>
        </w:rPr>
      </w:pPr>
      <w:proofErr w:type="gramStart"/>
      <w:r>
        <w:rPr>
          <w:szCs w:val="20"/>
          <w:vertAlign w:val="superscript"/>
        </w:rPr>
        <w:t>a</w:t>
      </w:r>
      <w:proofErr w:type="gramEnd"/>
      <w:r>
        <w:rPr>
          <w:szCs w:val="20"/>
        </w:rPr>
        <w:t xml:space="preserve"> Estimated by using reaction 324.</w:t>
      </w:r>
    </w:p>
    <w:p w14:paraId="10B84A4C" w14:textId="77777777" w:rsidR="00D40DCF" w:rsidRDefault="00D40DCF">
      <w:pPr>
        <w:rPr>
          <w:szCs w:val="20"/>
        </w:rPr>
      </w:pPr>
      <w:proofErr w:type="gramStart"/>
      <w:r>
        <w:rPr>
          <w:szCs w:val="20"/>
          <w:vertAlign w:val="superscript"/>
        </w:rPr>
        <w:t>b</w:t>
      </w:r>
      <w:proofErr w:type="gramEnd"/>
      <w:r>
        <w:rPr>
          <w:szCs w:val="20"/>
        </w:rPr>
        <w:t xml:space="preserve"> Obtained from RKM approximation.</w:t>
      </w:r>
    </w:p>
    <w:p w14:paraId="09070048" w14:textId="77777777" w:rsidR="00D40DCF" w:rsidRDefault="00D40DCF">
      <w:pPr>
        <w:rPr>
          <w:szCs w:val="20"/>
        </w:rPr>
      </w:pPr>
    </w:p>
    <w:p w14:paraId="6CA2863F" w14:textId="77777777" w:rsidR="00D40DCF" w:rsidRDefault="00D40DCF">
      <w:pPr>
        <w:rPr>
          <w:szCs w:val="20"/>
        </w:rPr>
      </w:pPr>
    </w:p>
    <w:p w14:paraId="320512A7" w14:textId="77777777" w:rsidR="00D40DCF" w:rsidRDefault="00D40DCF" w:rsidP="003E0884">
      <w:pPr>
        <w:pStyle w:val="Heading1"/>
        <w:spacing w:after="120"/>
        <w:ind w:left="357" w:hanging="357"/>
      </w:pPr>
      <w:r>
        <w:lastRenderedPageBreak/>
        <w:t>Conclusions/Concluding Remarks (or summary)</w:t>
      </w:r>
    </w:p>
    <w:p w14:paraId="07A95C93" w14:textId="77777777" w:rsidR="003E0884" w:rsidRPr="003E0884" w:rsidRDefault="003E0884" w:rsidP="003E0884">
      <w:pPr>
        <w:numPr>
          <w:ilvl w:val="1"/>
          <w:numId w:val="1"/>
        </w:numPr>
        <w:spacing w:after="60"/>
        <w:ind w:left="578" w:hanging="578"/>
        <w:rPr>
          <w:i/>
          <w:szCs w:val="20"/>
        </w:rPr>
      </w:pPr>
      <w:r>
        <w:rPr>
          <w:i/>
          <w:szCs w:val="20"/>
        </w:rPr>
        <w:t>Units</w:t>
      </w:r>
    </w:p>
    <w:p w14:paraId="075126F5" w14:textId="77777777" w:rsidR="00D40DCF" w:rsidRDefault="00D40DCF">
      <w:pPr>
        <w:rPr>
          <w:szCs w:val="20"/>
        </w:rPr>
      </w:pPr>
      <w:r>
        <w:rPr>
          <w:szCs w:val="20"/>
        </w:rPr>
        <w:t>Authors are expected to use the SI system of units.</w:t>
      </w:r>
    </w:p>
    <w:p w14:paraId="4F503748" w14:textId="77777777" w:rsidR="00D40DCF" w:rsidRDefault="00D40DCF">
      <w:pPr>
        <w:rPr>
          <w:b/>
          <w:szCs w:val="20"/>
        </w:rPr>
      </w:pPr>
    </w:p>
    <w:p w14:paraId="53659A6C" w14:textId="77777777" w:rsidR="00D40DCF" w:rsidRDefault="00D40DCF">
      <w:pPr>
        <w:rPr>
          <w:b/>
          <w:szCs w:val="20"/>
        </w:rPr>
      </w:pPr>
      <w:r>
        <w:rPr>
          <w:b/>
          <w:szCs w:val="20"/>
        </w:rPr>
        <w:t>Acknowledgements</w:t>
      </w:r>
    </w:p>
    <w:p w14:paraId="7BE21632" w14:textId="77777777" w:rsidR="00D40DCF" w:rsidRDefault="00D40DCF">
      <w:pPr>
        <w:rPr>
          <w:szCs w:val="20"/>
        </w:rPr>
      </w:pPr>
    </w:p>
    <w:p w14:paraId="2B7A6AC3" w14:textId="77777777" w:rsidR="00D40DCF" w:rsidRDefault="00D40DCF">
      <w:pPr>
        <w:rPr>
          <w:szCs w:val="20"/>
        </w:rPr>
      </w:pPr>
      <w:r>
        <w:rPr>
          <w:szCs w:val="20"/>
        </w:rPr>
        <w:t>Any acknowledgement you might wish to include goes here.</w:t>
      </w:r>
    </w:p>
    <w:p w14:paraId="125E7237" w14:textId="77777777" w:rsidR="00D40DCF" w:rsidRDefault="00D40DCF">
      <w:pPr>
        <w:rPr>
          <w:szCs w:val="20"/>
        </w:rPr>
      </w:pPr>
    </w:p>
    <w:p w14:paraId="4C50645F" w14:textId="77777777" w:rsidR="00D40DCF" w:rsidRDefault="00D40DCF">
      <w:pPr>
        <w:rPr>
          <w:b/>
          <w:szCs w:val="20"/>
        </w:rPr>
      </w:pPr>
      <w:r>
        <w:rPr>
          <w:b/>
          <w:szCs w:val="20"/>
        </w:rPr>
        <w:t>References</w:t>
      </w:r>
    </w:p>
    <w:p w14:paraId="432779C9" w14:textId="77777777" w:rsidR="00D40DCF" w:rsidRDefault="00D40DCF">
      <w:pPr>
        <w:rPr>
          <w:b/>
          <w:szCs w:val="20"/>
        </w:rPr>
      </w:pPr>
    </w:p>
    <w:p w14:paraId="5C77F5BA" w14:textId="77777777" w:rsidR="00D40DCF" w:rsidRDefault="00D40DCF">
      <w:pPr>
        <w:rPr>
          <w:szCs w:val="20"/>
        </w:rPr>
      </w:pPr>
      <w:r>
        <w:rPr>
          <w:szCs w:val="20"/>
        </w:rPr>
        <w:t xml:space="preserve">References should be indicated in the text by full-size numbers in brackets, e.g., [1], and should be numbered in the order cited. The numbered reference list should conform to </w:t>
      </w:r>
      <w:r w:rsidR="0029595F" w:rsidRPr="00D63294">
        <w:rPr>
          <w:i/>
          <w:szCs w:val="20"/>
        </w:rPr>
        <w:t>Sustainable Energy Technologies and Assessments</w:t>
      </w:r>
      <w:r w:rsidR="0029595F">
        <w:rPr>
          <w:szCs w:val="20"/>
        </w:rPr>
        <w:t xml:space="preserve"> </w:t>
      </w:r>
      <w:r>
        <w:rPr>
          <w:szCs w:val="20"/>
        </w:rPr>
        <w:t xml:space="preserve">instructions </w:t>
      </w:r>
      <w:r>
        <w:rPr>
          <w:i/>
          <w:szCs w:val="20"/>
          <w:u w:val="single"/>
        </w:rPr>
        <w:t>except</w:t>
      </w:r>
      <w:r>
        <w:t xml:space="preserve"> that full paper titles should be included</w:t>
      </w:r>
      <w:r>
        <w:rPr>
          <w:szCs w:val="20"/>
        </w:rPr>
        <w:t>:</w:t>
      </w:r>
    </w:p>
    <w:p w14:paraId="011AB505" w14:textId="77777777" w:rsidR="00D40DCF" w:rsidRDefault="00D40DCF">
      <w:pPr>
        <w:rPr>
          <w:szCs w:val="20"/>
        </w:rPr>
      </w:pPr>
    </w:p>
    <w:p w14:paraId="789F2920" w14:textId="77777777" w:rsidR="00D40DCF" w:rsidRDefault="00D40DCF">
      <w:pPr>
        <w:rPr>
          <w:szCs w:val="20"/>
        </w:rPr>
      </w:pPr>
      <w:r>
        <w:rPr>
          <w:i/>
          <w:szCs w:val="20"/>
        </w:rPr>
        <w:t>Journal Papers</w:t>
      </w:r>
      <w:r>
        <w:rPr>
          <w:szCs w:val="20"/>
        </w:rPr>
        <w:t>:</w:t>
      </w:r>
    </w:p>
    <w:p w14:paraId="0CF9A631" w14:textId="77777777" w:rsidR="00D40DCF" w:rsidRDefault="00D40DCF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J.R. Doe, J.Q. Public, An Analysis of Interesting Paper Titles, </w:t>
      </w:r>
      <w:r w:rsidRPr="003E0884">
        <w:rPr>
          <w:i/>
          <w:szCs w:val="20"/>
        </w:rPr>
        <w:t>Combust. Flame</w:t>
      </w:r>
      <w:r>
        <w:rPr>
          <w:szCs w:val="20"/>
        </w:rPr>
        <w:t xml:space="preserve"> 100 (2005) 60-69.</w:t>
      </w:r>
    </w:p>
    <w:p w14:paraId="606964AA" w14:textId="77777777" w:rsidR="00D40DCF" w:rsidRDefault="00D40DCF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J.R. Smith, A Novel Nano-bio-energy Thing, </w:t>
      </w:r>
      <w:r w:rsidRPr="003E0884">
        <w:rPr>
          <w:i/>
          <w:szCs w:val="20"/>
        </w:rPr>
        <w:t xml:space="preserve">Proc. Combust. Inst. </w:t>
      </w:r>
      <w:r>
        <w:rPr>
          <w:szCs w:val="20"/>
        </w:rPr>
        <w:t>30 (1986) 1115-1124.</w:t>
      </w:r>
    </w:p>
    <w:p w14:paraId="4647B6CF" w14:textId="77777777" w:rsidR="00D40DCF" w:rsidRDefault="00D40DCF">
      <w:pPr>
        <w:rPr>
          <w:szCs w:val="20"/>
        </w:rPr>
      </w:pPr>
    </w:p>
    <w:p w14:paraId="483CF000" w14:textId="77777777" w:rsidR="00D40DCF" w:rsidRDefault="00D40DCF">
      <w:pPr>
        <w:rPr>
          <w:szCs w:val="20"/>
        </w:rPr>
      </w:pPr>
      <w:r>
        <w:rPr>
          <w:i/>
          <w:szCs w:val="20"/>
        </w:rPr>
        <w:t>Thesis</w:t>
      </w:r>
      <w:r>
        <w:rPr>
          <w:szCs w:val="20"/>
        </w:rPr>
        <w:t>:</w:t>
      </w:r>
    </w:p>
    <w:p w14:paraId="64D010CE" w14:textId="77777777" w:rsidR="00D40DCF" w:rsidRDefault="00D40DCF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M.R. Student, Stuff that took me a year too long, </w:t>
      </w:r>
      <w:proofErr w:type="spellStart"/>
      <w:r>
        <w:rPr>
          <w:szCs w:val="20"/>
        </w:rPr>
        <w:t>MASc.</w:t>
      </w:r>
      <w:proofErr w:type="spellEnd"/>
      <w:r>
        <w:rPr>
          <w:szCs w:val="20"/>
        </w:rPr>
        <w:t xml:space="preserve"> thesis, Institute for Engineering Studies, University of Canada, Iqaluit, NU, Canada, 2010.</w:t>
      </w:r>
    </w:p>
    <w:p w14:paraId="1D21A2C1" w14:textId="77777777" w:rsidR="00D40DCF" w:rsidRDefault="00D40DCF">
      <w:pPr>
        <w:rPr>
          <w:szCs w:val="20"/>
        </w:rPr>
      </w:pPr>
    </w:p>
    <w:p w14:paraId="2E6D7984" w14:textId="77777777" w:rsidR="00D40DCF" w:rsidRDefault="00D40DCF">
      <w:pPr>
        <w:rPr>
          <w:szCs w:val="20"/>
        </w:rPr>
      </w:pPr>
      <w:r>
        <w:rPr>
          <w:i/>
          <w:szCs w:val="20"/>
        </w:rPr>
        <w:t>Book</w:t>
      </w:r>
      <w:r>
        <w:rPr>
          <w:szCs w:val="20"/>
        </w:rPr>
        <w:t>:</w:t>
      </w:r>
    </w:p>
    <w:p w14:paraId="38DB87A8" w14:textId="77777777" w:rsidR="00D40DCF" w:rsidRDefault="00D40DCF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C. K. Law, </w:t>
      </w:r>
      <w:r w:rsidRPr="003E0884">
        <w:rPr>
          <w:i/>
          <w:szCs w:val="20"/>
        </w:rPr>
        <w:t>Combustion Physics</w:t>
      </w:r>
      <w:r>
        <w:rPr>
          <w:szCs w:val="20"/>
        </w:rPr>
        <w:t>, Cambridge University Press, New York, 2006, p.84.</w:t>
      </w:r>
    </w:p>
    <w:p w14:paraId="58F0158A" w14:textId="77777777" w:rsidR="00D40DCF" w:rsidRDefault="00D40DCF">
      <w:pPr>
        <w:rPr>
          <w:szCs w:val="20"/>
        </w:rPr>
      </w:pPr>
    </w:p>
    <w:p w14:paraId="0D77435A" w14:textId="77777777" w:rsidR="00D40DCF" w:rsidRDefault="00D40DCF">
      <w:pPr>
        <w:rPr>
          <w:szCs w:val="20"/>
        </w:rPr>
      </w:pPr>
      <w:r>
        <w:rPr>
          <w:i/>
          <w:szCs w:val="20"/>
        </w:rPr>
        <w:t>Paper or Chapter in an Edited book</w:t>
      </w:r>
      <w:r>
        <w:rPr>
          <w:szCs w:val="20"/>
        </w:rPr>
        <w:t>:</w:t>
      </w:r>
    </w:p>
    <w:p w14:paraId="335F7C9B" w14:textId="77777777" w:rsidR="00D40DCF" w:rsidRDefault="00D40DCF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H. Burns, I.M. Hot, in: U.R. Pyro (Ed.), Large Scale Fire Dynamics, Taylor and Francis, London, 1988, p.502.</w:t>
      </w:r>
    </w:p>
    <w:p w14:paraId="713C26E3" w14:textId="77777777" w:rsidR="00D40DCF" w:rsidRDefault="00D40DCF">
      <w:pPr>
        <w:rPr>
          <w:szCs w:val="20"/>
        </w:rPr>
      </w:pPr>
    </w:p>
    <w:p w14:paraId="2BACD7D7" w14:textId="77777777" w:rsidR="00D40DCF" w:rsidRDefault="00D40DCF">
      <w:pPr>
        <w:rPr>
          <w:szCs w:val="20"/>
        </w:rPr>
      </w:pPr>
      <w:r>
        <w:rPr>
          <w:i/>
          <w:szCs w:val="20"/>
        </w:rPr>
        <w:t>Conference Proceedings</w:t>
      </w:r>
      <w:r>
        <w:rPr>
          <w:szCs w:val="20"/>
        </w:rPr>
        <w:t>:</w:t>
      </w:r>
    </w:p>
    <w:p w14:paraId="20E112DF" w14:textId="77777777" w:rsidR="00D40DCF" w:rsidRDefault="00D40DCF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M.T. Head, I.M. Done, Another Novel Nano-bio-energy Thing, Proceedings of Combustion Institute Canadian Section Spring Technical Meeting, May 15-17, 2012, pp.3.1-3.6.</w:t>
      </w:r>
    </w:p>
    <w:p w14:paraId="759DBE97" w14:textId="77777777" w:rsidR="00D40DCF" w:rsidRDefault="00D40DCF">
      <w:pPr>
        <w:rPr>
          <w:szCs w:val="20"/>
        </w:rPr>
      </w:pPr>
    </w:p>
    <w:p w14:paraId="3FA58EEE" w14:textId="77777777" w:rsidR="00D40DCF" w:rsidRDefault="00D40DCF">
      <w:pPr>
        <w:rPr>
          <w:szCs w:val="20"/>
        </w:rPr>
      </w:pPr>
      <w:r>
        <w:rPr>
          <w:szCs w:val="20"/>
        </w:rPr>
        <w:t xml:space="preserve">For other type of references you might want to include (e.g., reports, computer program/packages), please consult the </w:t>
      </w:r>
      <w:r w:rsidR="000A5CC3" w:rsidRPr="00D63294">
        <w:rPr>
          <w:i/>
          <w:szCs w:val="20"/>
        </w:rPr>
        <w:t>Sustainable Energy Technologies and Assessments</w:t>
      </w:r>
      <w:r w:rsidR="000A5CC3">
        <w:rPr>
          <w:szCs w:val="20"/>
        </w:rPr>
        <w:t xml:space="preserve"> </w:t>
      </w:r>
      <w:r>
        <w:rPr>
          <w:szCs w:val="20"/>
        </w:rPr>
        <w:t>instructions.</w:t>
      </w:r>
    </w:p>
    <w:p w14:paraId="4D6925D7" w14:textId="77777777" w:rsidR="00D40DCF" w:rsidRDefault="00D40DCF">
      <w:pPr>
        <w:rPr>
          <w:szCs w:val="20"/>
        </w:rPr>
      </w:pPr>
    </w:p>
    <w:p w14:paraId="55DD79BA" w14:textId="77777777" w:rsidR="00D40DCF" w:rsidRDefault="00D40DCF">
      <w:pPr>
        <w:rPr>
          <w:szCs w:val="20"/>
        </w:rPr>
      </w:pPr>
    </w:p>
    <w:p w14:paraId="2C93BF7F" w14:textId="77777777" w:rsidR="00D40DCF" w:rsidRDefault="00D40DCF">
      <w:pPr>
        <w:rPr>
          <w:szCs w:val="20"/>
        </w:rPr>
      </w:pPr>
    </w:p>
    <w:p w14:paraId="3B262655" w14:textId="77777777" w:rsidR="00D40DCF" w:rsidRDefault="00D40DCF" w:rsidP="00BA1432">
      <w:pPr>
        <w:jc w:val="left"/>
      </w:pPr>
      <w:r>
        <w:rPr>
          <w:szCs w:val="20"/>
        </w:rPr>
        <w:t xml:space="preserve">For any other formatting issues not addressed above, please consult </w:t>
      </w:r>
      <w:r w:rsidR="000A5CC3" w:rsidRPr="00D63294">
        <w:rPr>
          <w:i/>
          <w:szCs w:val="20"/>
        </w:rPr>
        <w:t>Sustainable Energy Technologies and Assessments</w:t>
      </w:r>
      <w:r w:rsidR="000A5CC3">
        <w:rPr>
          <w:szCs w:val="20"/>
        </w:rPr>
        <w:t xml:space="preserve"> </w:t>
      </w:r>
      <w:r w:rsidR="00BA1432">
        <w:rPr>
          <w:szCs w:val="20"/>
        </w:rPr>
        <w:t>instructions</w:t>
      </w:r>
      <w:r w:rsidR="00BA1432">
        <w:t xml:space="preserve"> (</w:t>
      </w:r>
      <w:r w:rsidR="00BA1432" w:rsidRPr="00BA1432">
        <w:rPr>
          <w:szCs w:val="20"/>
        </w:rPr>
        <w:t>https://www.elsevier.com/journals/sustainable-energy-technologies-and-assessments/2213-1388/guide-for-authors#20300</w:t>
      </w:r>
      <w:r w:rsidR="00BA1432">
        <w:rPr>
          <w:szCs w:val="20"/>
        </w:rPr>
        <w:t>).</w:t>
      </w:r>
    </w:p>
    <w:sectPr w:rsidR="00D40DCF" w:rsidSect="00E7311D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671" w:left="1440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CDF26A" w14:textId="77777777" w:rsidR="006E282A" w:rsidRDefault="006E282A">
      <w:r>
        <w:separator/>
      </w:r>
    </w:p>
  </w:endnote>
  <w:endnote w:type="continuationSeparator" w:id="0">
    <w:p w14:paraId="6A7C19C1" w14:textId="77777777" w:rsidR="006E282A" w:rsidRDefault="006E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imbusRomNo9L-Regu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8ED76" w14:textId="77777777" w:rsidR="006E282A" w:rsidRDefault="006E282A" w:rsidP="00A75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A86A8" w14:textId="77777777" w:rsidR="006E282A" w:rsidRDefault="006E28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D288" w14:textId="77777777" w:rsidR="006E282A" w:rsidRDefault="006E282A" w:rsidP="00A75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D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4DC92CE" w14:textId="77777777" w:rsidR="006E282A" w:rsidRDefault="006E28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8CE9A" w14:textId="77777777" w:rsidR="006E282A" w:rsidRDefault="006E282A" w:rsidP="0099176D">
    <w:pPr>
      <w:pStyle w:val="Authors"/>
      <w:jc w:val="left"/>
      <w:rPr>
        <w:rFonts w:eastAsia="NimbusRomNo9L-Regu" w:cs="NimbusRomNo9L-Regu"/>
        <w:sz w:val="16"/>
        <w:szCs w:val="16"/>
        <w:vertAlign w:val="superscript"/>
      </w:rPr>
    </w:pPr>
    <w:r>
      <w:rPr>
        <w:sz w:val="16"/>
        <w:szCs w:val="16"/>
        <w:vertAlign w:val="superscript"/>
      </w:rPr>
      <w:t>*</w:t>
    </w:r>
    <w:r>
      <w:rPr>
        <w:sz w:val="16"/>
        <w:szCs w:val="16"/>
      </w:rPr>
      <w:t>Professor, correspon</w:t>
    </w:r>
    <w:r w:rsidRPr="0099176D">
      <w:rPr>
        <w:sz w:val="16"/>
        <w:szCs w:val="16"/>
      </w:rPr>
      <w:t xml:space="preserve">ding author, </w:t>
    </w:r>
    <w:hyperlink r:id="rId1" w:history="1">
      <w:r w:rsidRPr="0099176D">
        <w:rPr>
          <w:rStyle w:val="Hyperlink"/>
          <w:sz w:val="16"/>
          <w:szCs w:val="16"/>
        </w:rPr>
        <w:t>smcgee@yukonu.ca</w:t>
      </w:r>
    </w:hyperlink>
  </w:p>
  <w:p w14:paraId="322A8FA3" w14:textId="77777777" w:rsidR="006E282A" w:rsidRPr="0099176D" w:rsidRDefault="006E282A" w:rsidP="0099176D">
    <w:pPr>
      <w:pStyle w:val="Authors"/>
      <w:jc w:val="left"/>
      <w:rPr>
        <w:rFonts w:eastAsia="NimbusRomNo9L-Regu" w:cs="NimbusRomNo9L-Regu"/>
        <w:sz w:val="16"/>
        <w:szCs w:val="16"/>
      </w:rPr>
    </w:pPr>
    <w:r>
      <w:rPr>
        <w:rFonts w:eastAsia="NimbusRomNo9L-Regu" w:cs="NimbusRomNo9L-Regu"/>
        <w:sz w:val="16"/>
        <w:szCs w:val="16"/>
        <w:vertAlign w:val="superscript"/>
      </w:rPr>
      <w:t>†</w:t>
    </w:r>
    <w:r>
      <w:rPr>
        <w:rFonts w:eastAsia="NimbusRomNo9L-Regu" w:cs="NimbusRomNo9L-Regu"/>
        <w:sz w:val="16"/>
        <w:szCs w:val="16"/>
      </w:rPr>
      <w:t>Associate Professor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59B1EE1" w14:textId="77777777" w:rsidR="006E282A" w:rsidRDefault="006E282A">
      <w:r>
        <w:separator/>
      </w:r>
    </w:p>
  </w:footnote>
  <w:footnote w:type="continuationSeparator" w:id="0">
    <w:p w14:paraId="7455E57C" w14:textId="77777777" w:rsidR="006E282A" w:rsidRDefault="006E28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28C8C" w14:textId="09A1603A" w:rsidR="006E282A" w:rsidRPr="00E7311D" w:rsidRDefault="006E282A" w:rsidP="0099176D">
    <w:pPr>
      <w:pStyle w:val="Headertext"/>
      <w:rPr>
        <w:b/>
      </w:rPr>
    </w:pPr>
    <w:r w:rsidRPr="00E7311D">
      <w:rPr>
        <w:b/>
      </w:rPr>
      <w:t>P</w:t>
    </w:r>
    <w:r>
      <w:rPr>
        <w:b/>
      </w:rPr>
      <w:t>roceedings of</w:t>
    </w:r>
    <w:r w:rsidRPr="00E7311D">
      <w:rPr>
        <w:b/>
      </w:rPr>
      <w:t xml:space="preserve"> </w:t>
    </w:r>
    <w:r w:rsidR="00263D76">
      <w:rPr>
        <w:b/>
      </w:rPr>
      <w:t>Offshore Energy and Storage 2017</w:t>
    </w:r>
  </w:p>
  <w:p w14:paraId="3276C2AF" w14:textId="1A205102" w:rsidR="006E282A" w:rsidRPr="00E7311D" w:rsidRDefault="00263D76" w:rsidP="0099176D">
    <w:pPr>
      <w:pStyle w:val="Headertext"/>
      <w:rPr>
        <w:b/>
      </w:rPr>
    </w:pPr>
    <w:r>
      <w:rPr>
        <w:b/>
      </w:rPr>
      <w:t>Cape Cod, Massachusetts, USA</w:t>
    </w:r>
  </w:p>
  <w:p w14:paraId="111775BD" w14:textId="4E378039" w:rsidR="006E282A" w:rsidRPr="00E7311D" w:rsidRDefault="006E282A" w:rsidP="0099176D">
    <w:pPr>
      <w:pStyle w:val="Headertext"/>
      <w:rPr>
        <w:b/>
      </w:rPr>
    </w:pPr>
    <w:r w:rsidRPr="00E7311D">
      <w:rPr>
        <w:b/>
      </w:rPr>
      <w:t>Ju</w:t>
    </w:r>
    <w:r w:rsidR="00263D76">
      <w:rPr>
        <w:b/>
      </w:rPr>
      <w:t>ly</w:t>
    </w:r>
    <w:r>
      <w:rPr>
        <w:b/>
      </w:rPr>
      <w:t xml:space="preserve"> </w:t>
    </w:r>
    <w:r w:rsidR="00263D76">
      <w:rPr>
        <w:b/>
      </w:rPr>
      <w:t>1</w:t>
    </w:r>
    <w:r w:rsidR="00404D26">
      <w:rPr>
        <w:b/>
      </w:rPr>
      <w:t>2</w:t>
    </w:r>
    <w:r>
      <w:rPr>
        <w:b/>
      </w:rPr>
      <w:t>-</w:t>
    </w:r>
    <w:r w:rsidR="00263D76">
      <w:rPr>
        <w:b/>
      </w:rPr>
      <w:t>14</w:t>
    </w:r>
    <w:r w:rsidRPr="00E7311D">
      <w:rPr>
        <w:b/>
      </w:rPr>
      <w:t>, 201</w:t>
    </w:r>
    <w:r w:rsidR="00404D26">
      <w:rPr>
        <w:b/>
      </w:rPr>
      <w:t>7</w:t>
    </w:r>
  </w:p>
  <w:p w14:paraId="4C0C960C" w14:textId="77777777" w:rsidR="006E282A" w:rsidRDefault="006E282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2CAAC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embedSystemFonts/>
  <w:proofState w:spelling="clean" w:grammar="clean"/>
  <w:attachedTemplate r:id="rId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8B"/>
    <w:rsid w:val="000056BF"/>
    <w:rsid w:val="00050789"/>
    <w:rsid w:val="000A5CC3"/>
    <w:rsid w:val="000E3431"/>
    <w:rsid w:val="00130513"/>
    <w:rsid w:val="00170D5C"/>
    <w:rsid w:val="001A4BE3"/>
    <w:rsid w:val="00203505"/>
    <w:rsid w:val="002628A5"/>
    <w:rsid w:val="00263D76"/>
    <w:rsid w:val="0029595F"/>
    <w:rsid w:val="003E0884"/>
    <w:rsid w:val="00404D26"/>
    <w:rsid w:val="004A2071"/>
    <w:rsid w:val="005265C0"/>
    <w:rsid w:val="005C1409"/>
    <w:rsid w:val="005E5D31"/>
    <w:rsid w:val="005F0ABF"/>
    <w:rsid w:val="00645F14"/>
    <w:rsid w:val="006E282A"/>
    <w:rsid w:val="00727645"/>
    <w:rsid w:val="008415E7"/>
    <w:rsid w:val="0099176D"/>
    <w:rsid w:val="00A36A32"/>
    <w:rsid w:val="00A7547C"/>
    <w:rsid w:val="00AD190C"/>
    <w:rsid w:val="00AF2232"/>
    <w:rsid w:val="00BA1432"/>
    <w:rsid w:val="00BC1C8B"/>
    <w:rsid w:val="00C81C68"/>
    <w:rsid w:val="00D40DCF"/>
    <w:rsid w:val="00D63294"/>
    <w:rsid w:val="00D9429D"/>
    <w:rsid w:val="00E0479A"/>
    <w:rsid w:val="00E7311D"/>
    <w:rsid w:val="00EF504F"/>
    <w:rsid w:val="00F8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4160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jc w:val="both"/>
    </w:pPr>
    <w:rPr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360"/>
      </w:tabs>
      <w:spacing w:before="120" w:after="60"/>
      <w:ind w:left="360" w:hanging="360"/>
      <w:outlineLvl w:val="0"/>
    </w:pPr>
    <w:rPr>
      <w:b/>
      <w:bC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32"/>
      </w:tabs>
      <w:spacing w:before="60" w:after="60"/>
      <w:ind w:left="432" w:hanging="432"/>
      <w:outlineLvl w:val="1"/>
    </w:pPr>
    <w:rPr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ootnoteCharacters">
    <w:name w:val="Footnote Characters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itleChar">
    <w:name w:val="Title Char"/>
    <w:rPr>
      <w:b/>
      <w:bCs/>
      <w:kern w:val="1"/>
      <w:sz w:val="32"/>
      <w:szCs w:val="32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Heading1Char">
    <w:name w:val="Heading 1 Char"/>
    <w:rPr>
      <w:b/>
      <w:bCs/>
      <w:kern w:val="1"/>
      <w:szCs w:val="32"/>
    </w:rPr>
  </w:style>
  <w:style w:type="character" w:customStyle="1" w:styleId="Heading2Char">
    <w:name w:val="Heading 2 Char"/>
    <w:rPr>
      <w:bCs/>
      <w:i/>
      <w:iCs/>
      <w:szCs w:val="28"/>
    </w:rPr>
  </w:style>
  <w:style w:type="character" w:customStyle="1" w:styleId="Heading3Char">
    <w:name w:val="Heading 3 Char"/>
    <w:rPr>
      <w:bCs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Cs w:val="20"/>
    </w:rPr>
  </w:style>
  <w:style w:type="paragraph" w:customStyle="1" w:styleId="Standard">
    <w:name w:val="Standard"/>
    <w:basedOn w:val="Normal"/>
    <w:pPr>
      <w:spacing w:after="120"/>
    </w:pPr>
    <w:rPr>
      <w:szCs w:val="20"/>
    </w:rPr>
  </w:style>
  <w:style w:type="paragraph" w:customStyle="1" w:styleId="Equation">
    <w:name w:val="Equation"/>
    <w:basedOn w:val="Normal"/>
    <w:next w:val="Normal"/>
    <w:pPr>
      <w:tabs>
        <w:tab w:val="center" w:pos="5040"/>
        <w:tab w:val="right" w:pos="9360"/>
      </w:tabs>
      <w:spacing w:before="60" w:after="60"/>
    </w:pPr>
    <w:rPr>
      <w:szCs w:val="20"/>
    </w:rPr>
  </w:style>
  <w:style w:type="paragraph" w:styleId="Title">
    <w:name w:val="Title"/>
    <w:basedOn w:val="Normal"/>
    <w:next w:val="Normal"/>
    <w:qFormat/>
    <w:pPr>
      <w:spacing w:before="120" w:after="60"/>
      <w:jc w:val="center"/>
    </w:pPr>
    <w:rPr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Headertext">
    <w:name w:val="Header text"/>
    <w:basedOn w:val="Normal"/>
    <w:pPr>
      <w:jc w:val="right"/>
    </w:pPr>
    <w:rPr>
      <w:rFonts w:ascii="Arial" w:hAnsi="Arial" w:cs="Arial"/>
      <w:sz w:val="16"/>
      <w:szCs w:val="16"/>
    </w:rPr>
  </w:style>
  <w:style w:type="paragraph" w:customStyle="1" w:styleId="Affiliations">
    <w:name w:val="Affiliations"/>
    <w:basedOn w:val="Normal"/>
    <w:pPr>
      <w:jc w:val="center"/>
    </w:pPr>
    <w:rPr>
      <w:i/>
      <w:szCs w:val="20"/>
    </w:rPr>
  </w:style>
  <w:style w:type="paragraph" w:customStyle="1" w:styleId="Authors">
    <w:name w:val="Authors"/>
    <w:basedOn w:val="Normal"/>
    <w:next w:val="Affiliations"/>
    <w:pPr>
      <w:jc w:val="center"/>
    </w:pPr>
    <w:rPr>
      <w:sz w:val="24"/>
    </w:rPr>
  </w:style>
  <w:style w:type="paragraph" w:customStyle="1" w:styleId="TableText">
    <w:name w:val="Table Text"/>
    <w:basedOn w:val="Normal"/>
    <w:pPr>
      <w:jc w:val="center"/>
    </w:pPr>
    <w:rPr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1C8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C1C8B"/>
    <w:rPr>
      <w:szCs w:val="24"/>
      <w:lang w:eastAsia="ar-SA"/>
    </w:rPr>
  </w:style>
  <w:style w:type="character" w:styleId="PageNumber">
    <w:name w:val="page number"/>
    <w:uiPriority w:val="99"/>
    <w:semiHidden/>
    <w:unhideWhenUsed/>
    <w:rsid w:val="00E731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jc w:val="both"/>
    </w:pPr>
    <w:rPr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360"/>
      </w:tabs>
      <w:spacing w:before="120" w:after="60"/>
      <w:ind w:left="360" w:hanging="360"/>
      <w:outlineLvl w:val="0"/>
    </w:pPr>
    <w:rPr>
      <w:b/>
      <w:bC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32"/>
      </w:tabs>
      <w:spacing w:before="60" w:after="60"/>
      <w:ind w:left="432" w:hanging="432"/>
      <w:outlineLvl w:val="1"/>
    </w:pPr>
    <w:rPr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ootnoteCharacters">
    <w:name w:val="Footnote Characters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itleChar">
    <w:name w:val="Title Char"/>
    <w:rPr>
      <w:b/>
      <w:bCs/>
      <w:kern w:val="1"/>
      <w:sz w:val="32"/>
      <w:szCs w:val="32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Heading1Char">
    <w:name w:val="Heading 1 Char"/>
    <w:rPr>
      <w:b/>
      <w:bCs/>
      <w:kern w:val="1"/>
      <w:szCs w:val="32"/>
    </w:rPr>
  </w:style>
  <w:style w:type="character" w:customStyle="1" w:styleId="Heading2Char">
    <w:name w:val="Heading 2 Char"/>
    <w:rPr>
      <w:bCs/>
      <w:i/>
      <w:iCs/>
      <w:szCs w:val="28"/>
    </w:rPr>
  </w:style>
  <w:style w:type="character" w:customStyle="1" w:styleId="Heading3Char">
    <w:name w:val="Heading 3 Char"/>
    <w:rPr>
      <w:bCs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Cs w:val="20"/>
    </w:rPr>
  </w:style>
  <w:style w:type="paragraph" w:customStyle="1" w:styleId="Standard">
    <w:name w:val="Standard"/>
    <w:basedOn w:val="Normal"/>
    <w:pPr>
      <w:spacing w:after="120"/>
    </w:pPr>
    <w:rPr>
      <w:szCs w:val="20"/>
    </w:rPr>
  </w:style>
  <w:style w:type="paragraph" w:customStyle="1" w:styleId="Equation">
    <w:name w:val="Equation"/>
    <w:basedOn w:val="Normal"/>
    <w:next w:val="Normal"/>
    <w:pPr>
      <w:tabs>
        <w:tab w:val="center" w:pos="5040"/>
        <w:tab w:val="right" w:pos="9360"/>
      </w:tabs>
      <w:spacing w:before="60" w:after="60"/>
    </w:pPr>
    <w:rPr>
      <w:szCs w:val="20"/>
    </w:rPr>
  </w:style>
  <w:style w:type="paragraph" w:styleId="Title">
    <w:name w:val="Title"/>
    <w:basedOn w:val="Normal"/>
    <w:next w:val="Normal"/>
    <w:qFormat/>
    <w:pPr>
      <w:spacing w:before="120" w:after="60"/>
      <w:jc w:val="center"/>
    </w:pPr>
    <w:rPr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Headertext">
    <w:name w:val="Header text"/>
    <w:basedOn w:val="Normal"/>
    <w:pPr>
      <w:jc w:val="right"/>
    </w:pPr>
    <w:rPr>
      <w:rFonts w:ascii="Arial" w:hAnsi="Arial" w:cs="Arial"/>
      <w:sz w:val="16"/>
      <w:szCs w:val="16"/>
    </w:rPr>
  </w:style>
  <w:style w:type="paragraph" w:customStyle="1" w:styleId="Affiliations">
    <w:name w:val="Affiliations"/>
    <w:basedOn w:val="Normal"/>
    <w:pPr>
      <w:jc w:val="center"/>
    </w:pPr>
    <w:rPr>
      <w:i/>
      <w:szCs w:val="20"/>
    </w:rPr>
  </w:style>
  <w:style w:type="paragraph" w:customStyle="1" w:styleId="Authors">
    <w:name w:val="Authors"/>
    <w:basedOn w:val="Normal"/>
    <w:next w:val="Affiliations"/>
    <w:pPr>
      <w:jc w:val="center"/>
    </w:pPr>
    <w:rPr>
      <w:sz w:val="24"/>
    </w:rPr>
  </w:style>
  <w:style w:type="paragraph" w:customStyle="1" w:styleId="TableText">
    <w:name w:val="Table Text"/>
    <w:basedOn w:val="Normal"/>
    <w:pPr>
      <w:jc w:val="center"/>
    </w:pPr>
    <w:rPr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1C8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C1C8B"/>
    <w:rPr>
      <w:szCs w:val="24"/>
      <w:lang w:eastAsia="ar-SA"/>
    </w:rPr>
  </w:style>
  <w:style w:type="character" w:styleId="PageNumber">
    <w:name w:val="page number"/>
    <w:uiPriority w:val="99"/>
    <w:semiHidden/>
    <w:unhideWhenUsed/>
    <w:rsid w:val="00E7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1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mcgee@yukonu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_PUBL_2\PUBL_2008\CICS\CSCI_templat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\Z_PUBL_2\PUBL_2008\CICS\CSCI_template2.dot</Template>
  <TotalTime>5</TotalTime>
  <Pages>3</Pages>
  <Words>1056</Words>
  <Characters>6020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UTIAS</Company>
  <LinksUpToDate>false</LinksUpToDate>
  <CharactersWithSpaces>7062</CharactersWithSpaces>
  <SharedDoc>false</SharedDoc>
  <HLinks>
    <vt:vector size="6" baseType="variant">
      <vt:variant>
        <vt:i4>5963798</vt:i4>
      </vt:variant>
      <vt:variant>
        <vt:i4>5</vt:i4>
      </vt:variant>
      <vt:variant>
        <vt:i4>0</vt:i4>
      </vt:variant>
      <vt:variant>
        <vt:i4>5</vt:i4>
      </vt:variant>
      <vt:variant>
        <vt:lpwstr>mailto:smcgee@yukonu.ca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subject/>
  <dc:creator>Ömer L. Gülder</dc:creator>
  <cp:keywords/>
  <cp:lastModifiedBy>Rupp Carriveau</cp:lastModifiedBy>
  <cp:revision>4</cp:revision>
  <cp:lastPrinted>2008-03-14T19:43:00Z</cp:lastPrinted>
  <dcterms:created xsi:type="dcterms:W3CDTF">2016-11-15T02:26:00Z</dcterms:created>
  <dcterms:modified xsi:type="dcterms:W3CDTF">2016-12-08T03:11:00Z</dcterms:modified>
</cp:coreProperties>
</file>